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4" w:lineRule="exact"/>
        <w:rPr>
          <w:sz w:val="24"/>
          <w:szCs w:val="24"/>
          <w:color w:val="auto"/>
        </w:rPr>
      </w:pPr>
    </w:p>
    <w:p>
      <w:pPr>
        <w:ind w:left="100"/>
        <w:spacing w:after="0"/>
        <w:rPr>
          <w:sz w:val="20"/>
          <w:szCs w:val="20"/>
          <w:color w:val="auto"/>
        </w:rPr>
      </w:pPr>
      <w:r>
        <w:rPr>
          <w:rFonts w:ascii="Verdana" w:cs="Verdana" w:eastAsia="Verdana" w:hAnsi="Verdana"/>
          <w:sz w:val="26"/>
          <w:szCs w:val="26"/>
          <w:b w:val="1"/>
          <w:bCs w:val="1"/>
          <w:color w:val="BB0826"/>
        </w:rPr>
        <w:t>JPMorgan Chase Financial Company LLC</w:t>
      </w:r>
    </w:p>
    <w:p>
      <w:pPr>
        <w:spacing w:after="0" w:line="20" w:lineRule="exact"/>
        <w:rPr>
          <w:sz w:val="24"/>
          <w:szCs w:val="24"/>
          <w:color w:val="auto"/>
        </w:rPr>
      </w:pPr>
      <w:r>
        <w:rPr>
          <w:sz w:val="24"/>
          <w:szCs w:val="24"/>
          <w:color w:val="auto"/>
        </w:rPr>
        <w:br w:type="column"/>
      </w:r>
    </w:p>
    <w:p>
      <w:pPr>
        <w:jc w:val="right"/>
        <w:ind w:right="80"/>
        <w:spacing w:after="0" w:line="233" w:lineRule="auto"/>
        <w:rPr>
          <w:sz w:val="20"/>
          <w:szCs w:val="20"/>
          <w:color w:val="auto"/>
        </w:rPr>
      </w:pPr>
      <w:r>
        <w:rPr>
          <w:rFonts w:ascii="Verdana" w:cs="Verdana" w:eastAsia="Verdana" w:hAnsi="Verdana"/>
          <w:sz w:val="13"/>
          <w:szCs w:val="13"/>
          <w:color w:val="auto"/>
        </w:rPr>
        <w:t>Filed Pursuant to Rule 433 Registration Statement Nos. 333-293684 and 333-293684-01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-98425</wp:posOffset>
            </wp:positionH>
            <wp:positionV relativeFrom="paragraph">
              <wp:posOffset>-5715</wp:posOffset>
            </wp:positionV>
            <wp:extent cx="156845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8450" cy="411480"/>
                    </a:xfrm>
                    <a:prstGeom prst="rect">
                      <a:avLst/>
                    </a:prstGeom>
                    <a:noFill/>
                  </pic:spPr>
                </pic:pic>
              </a:graphicData>
            </a:graphic>
          </wp:anchor>
        </w:drawing>
      </w:r>
    </w:p>
    <w:p>
      <w:pPr>
        <w:spacing w:after="0" w:line="125" w:lineRule="exact"/>
        <w:rPr>
          <w:sz w:val="24"/>
          <w:szCs w:val="24"/>
          <w:color w:val="auto"/>
        </w:rPr>
      </w:pPr>
    </w:p>
    <w:p>
      <w:pPr>
        <w:sectPr>
          <w:pgSz w:w="11900" w:h="16838" w:orient="portrait"/>
          <w:cols w:equalWidth="0" w:num="2">
            <w:col w:w="7760" w:space="720"/>
            <w:col w:w="2740"/>
          </w:cols>
          <w:pgMar w:left="320" w:top="242" w:right="359" w:bottom="684" w:gutter="0" w:footer="0" w:header="0"/>
        </w:sectPr>
      </w:pPr>
    </w:p>
    <w:p>
      <w:pPr>
        <w:ind w:left="100"/>
        <w:spacing w:after="0"/>
        <w:rPr>
          <w:sz w:val="20"/>
          <w:szCs w:val="20"/>
          <w:color w:val="auto"/>
        </w:rPr>
      </w:pPr>
      <w:r>
        <w:rPr>
          <w:rFonts w:ascii="Verdana" w:cs="Verdana" w:eastAsia="Verdana" w:hAnsi="Verdana"/>
          <w:sz w:val="16"/>
          <w:szCs w:val="16"/>
          <w:b w:val="1"/>
          <w:bCs w:val="1"/>
          <w:i w:val="1"/>
          <w:iCs w:val="1"/>
          <w:color w:val="BB0826"/>
        </w:rPr>
        <w:t>Fully and Unconditionally Guaranteed by JPMorgan Chase &amp; Co.</w:t>
      </w:r>
    </w:p>
    <w:p>
      <w:pPr>
        <w:spacing w:after="0" w:line="66" w:lineRule="exact"/>
        <w:rPr>
          <w:sz w:val="24"/>
          <w:szCs w:val="24"/>
          <w:color w:val="auto"/>
        </w:rPr>
      </w:pPr>
    </w:p>
    <w:p>
      <w:pPr>
        <w:ind w:left="100"/>
        <w:spacing w:after="0"/>
        <w:rPr>
          <w:sz w:val="20"/>
          <w:szCs w:val="20"/>
          <w:color w:val="auto"/>
        </w:rPr>
      </w:pPr>
      <w:r>
        <w:rPr>
          <w:rFonts w:ascii="Verdana" w:cs="Verdana" w:eastAsia="Verdana" w:hAnsi="Verdana"/>
          <w:sz w:val="20"/>
          <w:szCs w:val="20"/>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771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spacing w:after="0" w:line="97" w:lineRule="exact"/>
        <w:rPr>
          <w:sz w:val="24"/>
          <w:szCs w:val="24"/>
          <w:color w:val="auto"/>
        </w:rPr>
      </w:pPr>
    </w:p>
    <w:p>
      <w:pPr>
        <w:ind w:left="100"/>
        <w:spacing w:after="0"/>
        <w:rPr>
          <w:sz w:val="20"/>
          <w:szCs w:val="20"/>
          <w:color w:val="auto"/>
        </w:rPr>
      </w:pPr>
      <w:r>
        <w:rPr>
          <w:rFonts w:ascii="Verdana" w:cs="Verdana" w:eastAsia="Verdana" w:hAnsi="Verdana"/>
          <w:sz w:val="16"/>
          <w:szCs w:val="16"/>
          <w:color w:val="FFFFFF"/>
        </w:rPr>
        <w:t>Market Linked Securities— Auto-Callable with Leveraged Upside Participation and Contingent Downside</w:t>
      </w:r>
    </w:p>
    <w:p>
      <w:pPr>
        <w:spacing w:after="0" w:line="62" w:lineRule="exact"/>
        <w:rPr>
          <w:sz w:val="24"/>
          <w:szCs w:val="24"/>
          <w:color w:val="auto"/>
        </w:rPr>
      </w:pPr>
    </w:p>
    <w:p>
      <w:pPr>
        <w:ind w:left="100" w:right="320"/>
        <w:spacing w:after="0" w:line="205" w:lineRule="auto"/>
        <w:rPr>
          <w:sz w:val="20"/>
          <w:szCs w:val="20"/>
          <w:color w:val="auto"/>
        </w:rPr>
      </w:pPr>
      <w:r>
        <w:rPr>
          <w:rFonts w:ascii="Verdana" w:cs="Verdana" w:eastAsia="Verdana" w:hAnsi="Verdana"/>
          <w:sz w:val="16"/>
          <w:szCs w:val="16"/>
          <w:color w:val="FFFFFF"/>
        </w:rPr>
        <w:t>Principal at Risk Securities Linked to the Lowest Performing of the Dow Jones Industrial Average</w:t>
      </w:r>
      <w:r>
        <w:rPr>
          <w:rFonts w:ascii="Verdana" w:cs="Verdana" w:eastAsia="Verdana" w:hAnsi="Verdana"/>
          <w:sz w:val="26"/>
          <w:szCs w:val="26"/>
          <w:color w:val="FFFFFF"/>
          <w:vertAlign w:val="superscript"/>
        </w:rPr>
        <w:t>®</w:t>
      </w:r>
      <w:r>
        <w:rPr>
          <w:rFonts w:ascii="Verdana" w:cs="Verdana" w:eastAsia="Verdana" w:hAnsi="Verdana"/>
          <w:sz w:val="16"/>
          <w:szCs w:val="16"/>
          <w:color w:val="FFFFFF"/>
        </w:rPr>
        <w:t>, the Russell 2000</w:t>
      </w:r>
      <w:r>
        <w:rPr>
          <w:rFonts w:ascii="Verdana" w:cs="Verdana" w:eastAsia="Verdana" w:hAnsi="Verdana"/>
          <w:sz w:val="26"/>
          <w:szCs w:val="26"/>
          <w:color w:val="FFFFFF"/>
          <w:vertAlign w:val="superscript"/>
        </w:rPr>
        <w:t>®</w:t>
      </w:r>
      <w:r>
        <w:rPr>
          <w:rFonts w:ascii="Verdana" w:cs="Verdana" w:eastAsia="Verdana" w:hAnsi="Verdana"/>
          <w:sz w:val="16"/>
          <w:szCs w:val="16"/>
          <w:color w:val="FFFFFF"/>
        </w:rPr>
        <w:t xml:space="preserve"> Index and the Nasdaq-100 Index</w:t>
      </w:r>
      <w:r>
        <w:rPr>
          <w:rFonts w:ascii="Verdana" w:cs="Verdana" w:eastAsia="Verdana" w:hAnsi="Verdana"/>
          <w:sz w:val="26"/>
          <w:szCs w:val="26"/>
          <w:color w:val="FFFFFF"/>
          <w:vertAlign w:val="superscript"/>
        </w:rPr>
        <w:t>®</w:t>
      </w:r>
      <w:r>
        <w:rPr>
          <w:rFonts w:ascii="Verdana" w:cs="Verdana" w:eastAsia="Verdana" w:hAnsi="Verdana"/>
          <w:sz w:val="16"/>
          <w:szCs w:val="16"/>
          <w:color w:val="FFFFFF"/>
        </w:rPr>
        <w:t xml:space="preserve"> due June 29, 2029</w:t>
      </w:r>
    </w:p>
    <w:p>
      <w:pPr>
        <w:ind w:left="100"/>
        <w:spacing w:after="0"/>
        <w:rPr>
          <w:sz w:val="20"/>
          <w:szCs w:val="20"/>
          <w:color w:val="auto"/>
        </w:rPr>
      </w:pPr>
      <w:r>
        <w:rPr>
          <w:rFonts w:ascii="Verdana" w:cs="Verdana" w:eastAsia="Verdana" w:hAnsi="Verdana"/>
          <w:sz w:val="16"/>
          <w:szCs w:val="16"/>
          <w:color w:val="FFFFFF"/>
        </w:rPr>
        <w:t>Fact Sheet dated June 17, 2026 to Preliminary Pricing Supplement dated June 17, 2026</w:t>
      </w:r>
    </w:p>
    <w:p>
      <w:pPr>
        <w:sectPr>
          <w:pgSz w:w="11900" w:h="16838" w:orient="portrait"/>
          <w:cols w:equalWidth="0" w:num="1">
            <w:col w:w="11220"/>
          </w:cols>
          <w:pgMar w:left="320" w:top="242" w:right="359" w:bottom="684" w:gutter="0" w:footer="0" w:header="0"/>
          <w:type w:val="continuous"/>
        </w:sectPr>
      </w:pPr>
    </w:p>
    <w:p>
      <w:pPr>
        <w:spacing w:after="0" w:line="117" w:lineRule="exact"/>
        <w:rPr>
          <w:sz w:val="24"/>
          <w:szCs w:val="24"/>
          <w:color w:val="auto"/>
        </w:rPr>
      </w:pPr>
    </w:p>
    <w:p>
      <w:pPr>
        <w:ind w:left="80"/>
        <w:spacing w:after="0"/>
        <w:rPr>
          <w:sz w:val="20"/>
          <w:szCs w:val="20"/>
          <w:color w:val="auto"/>
        </w:rPr>
      </w:pPr>
      <w:r>
        <w:rPr>
          <w:rFonts w:ascii="Verdana" w:cs="Verdana" w:eastAsia="Verdana" w:hAnsi="Verdana"/>
          <w:sz w:val="20"/>
          <w:szCs w:val="20"/>
          <w:color w:val="8F8F8F"/>
        </w:rPr>
        <w:t>Summary of Terms</w:t>
      </w:r>
    </w:p>
    <w:tbl>
      <w:tblPr>
        <w:tblLayout w:type="fixed"/>
        <w:tblInd w:w="10" w:type="dxa"/>
        <w:tblCellMar>
          <w:top w:w="0" w:type="dxa"/>
          <w:left w:w="0" w:type="dxa"/>
          <w:bottom w:w="0" w:type="dxa"/>
          <w:right w:w="0" w:type="dxa"/>
        </w:tblCellMar>
      </w:tblPr>
      <w:tr>
        <w:trPr>
          <w:trHeight w:val="156"/>
        </w:trPr>
        <w:tc>
          <w:tcPr>
            <w:tcW w:w="1900" w:type="dxa"/>
            <w:vAlign w:val="bottom"/>
            <w:tcBorders>
              <w:top w:val="single" w:sz="8" w:color="auto"/>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Issuer:</w:t>
            </w:r>
          </w:p>
        </w:tc>
        <w:tc>
          <w:tcPr>
            <w:tcW w:w="3600" w:type="dxa"/>
            <w:vAlign w:val="bottom"/>
            <w:tcBorders>
              <w:top w:val="single" w:sz="8" w:color="auto"/>
              <w:bottom w:val="single" w:sz="8" w:color="auto"/>
              <w:right w:val="single" w:sz="8" w:color="auto"/>
            </w:tcBorders>
            <w:gridSpan w:val="7"/>
          </w:tcPr>
          <w:p>
            <w:pPr>
              <w:ind w:left="100"/>
              <w:spacing w:after="0" w:line="156" w:lineRule="exact"/>
              <w:rPr>
                <w:sz w:val="20"/>
                <w:szCs w:val="20"/>
                <w:color w:val="auto"/>
              </w:rPr>
            </w:pPr>
            <w:r>
              <w:rPr>
                <w:rFonts w:ascii="Georgia" w:cs="Georgia" w:eastAsia="Georgia" w:hAnsi="Georgia"/>
                <w:sz w:val="14"/>
                <w:szCs w:val="14"/>
                <w:color w:val="auto"/>
              </w:rPr>
              <w:t>JPMorgan Chase Financial Company LLC</w:t>
            </w:r>
          </w:p>
        </w:tc>
      </w:tr>
      <w:tr>
        <w:trPr>
          <w:trHeight w:val="155"/>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Guarantor:</w:t>
            </w:r>
          </w:p>
        </w:tc>
        <w:tc>
          <w:tcPr>
            <w:tcW w:w="3600" w:type="dxa"/>
            <w:vAlign w:val="bottom"/>
            <w:tcBorders>
              <w:bottom w:val="single" w:sz="8" w:color="auto"/>
              <w:right w:val="single" w:sz="8" w:color="auto"/>
            </w:tcBorders>
            <w:gridSpan w:val="7"/>
          </w:tcPr>
          <w:p>
            <w:pPr>
              <w:ind w:left="100"/>
              <w:spacing w:after="0" w:line="156" w:lineRule="exact"/>
              <w:rPr>
                <w:sz w:val="20"/>
                <w:szCs w:val="20"/>
                <w:color w:val="auto"/>
              </w:rPr>
            </w:pPr>
            <w:r>
              <w:rPr>
                <w:rFonts w:ascii="Georgia" w:cs="Georgia" w:eastAsia="Georgia" w:hAnsi="Georgia"/>
                <w:sz w:val="14"/>
                <w:szCs w:val="14"/>
                <w:color w:val="auto"/>
              </w:rPr>
              <w:t>JPMorgan Chase &amp; C0.</w:t>
            </w:r>
          </w:p>
        </w:tc>
      </w:tr>
      <w:tr>
        <w:trPr>
          <w:trHeight w:val="181"/>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Indices:</w:t>
            </w:r>
          </w:p>
        </w:tc>
        <w:tc>
          <w:tcPr>
            <w:tcW w:w="3600" w:type="dxa"/>
            <w:vAlign w:val="bottom"/>
            <w:tcBorders>
              <w:right w:val="single" w:sz="8" w:color="auto"/>
            </w:tcBorders>
            <w:gridSpan w:val="7"/>
          </w:tcPr>
          <w:p>
            <w:pPr>
              <w:ind w:left="100"/>
              <w:spacing w:after="0" w:line="180" w:lineRule="exact"/>
              <w:rPr>
                <w:sz w:val="20"/>
                <w:szCs w:val="20"/>
                <w:color w:val="auto"/>
              </w:rPr>
            </w:pPr>
            <w:r>
              <w:rPr>
                <w:rFonts w:ascii="Georgia" w:cs="Georgia" w:eastAsia="Georgia" w:hAnsi="Georgia"/>
                <w:sz w:val="13"/>
                <w:szCs w:val="13"/>
                <w:color w:val="auto"/>
              </w:rPr>
              <w:t>Dow Jones Industrial Average</w:t>
            </w:r>
            <w:r>
              <w:rPr>
                <w:rFonts w:ascii="Georgia" w:cs="Georgia" w:eastAsia="Georgia" w:hAnsi="Georgia"/>
                <w:sz w:val="21"/>
                <w:szCs w:val="21"/>
                <w:color w:val="auto"/>
                <w:vertAlign w:val="superscript"/>
              </w:rPr>
              <w:t>®</w:t>
            </w:r>
            <w:r>
              <w:rPr>
                <w:rFonts w:ascii="Georgia" w:cs="Georgia" w:eastAsia="Georgia" w:hAnsi="Georgia"/>
                <w:sz w:val="13"/>
                <w:szCs w:val="13"/>
                <w:color w:val="auto"/>
              </w:rPr>
              <w:t xml:space="preserve"> (Bloomberg ticker:</w:t>
            </w:r>
          </w:p>
        </w:tc>
      </w:tr>
      <w:tr>
        <w:trPr>
          <w:trHeight w:val="189"/>
        </w:trPr>
        <w:tc>
          <w:tcPr>
            <w:tcW w:w="1900" w:type="dxa"/>
            <w:vAlign w:val="bottom"/>
            <w:tcBorders>
              <w:left w:val="single" w:sz="8" w:color="auto"/>
              <w:right w:val="single" w:sz="8" w:color="auto"/>
            </w:tcBorders>
          </w:tcPr>
          <w:p>
            <w:pPr>
              <w:spacing w:after="0"/>
              <w:rPr>
                <w:sz w:val="16"/>
                <w:szCs w:val="16"/>
                <w:color w:val="auto"/>
              </w:rPr>
            </w:pPr>
          </w:p>
        </w:tc>
        <w:tc>
          <w:tcPr>
            <w:tcW w:w="3600" w:type="dxa"/>
            <w:vAlign w:val="bottom"/>
            <w:tcBorders>
              <w:right w:val="single" w:sz="8" w:color="auto"/>
            </w:tcBorders>
            <w:gridSpan w:val="7"/>
          </w:tcPr>
          <w:p>
            <w:pPr>
              <w:ind w:left="100"/>
              <w:spacing w:after="0" w:line="189" w:lineRule="exact"/>
              <w:rPr>
                <w:sz w:val="20"/>
                <w:szCs w:val="20"/>
                <w:color w:val="auto"/>
              </w:rPr>
            </w:pPr>
            <w:r>
              <w:rPr>
                <w:rFonts w:ascii="Georgia" w:cs="Georgia" w:eastAsia="Georgia" w:hAnsi="Georgia"/>
                <w:sz w:val="14"/>
                <w:szCs w:val="14"/>
                <w:color w:val="auto"/>
              </w:rPr>
              <w:t>INDU), Russell 2000</w:t>
            </w:r>
            <w:r>
              <w:rPr>
                <w:rFonts w:ascii="Georgia" w:cs="Georgia" w:eastAsia="Georgia" w:hAnsi="Georgia"/>
                <w:sz w:val="22"/>
                <w:szCs w:val="22"/>
                <w:color w:val="auto"/>
                <w:vertAlign w:val="superscript"/>
              </w:rPr>
              <w:t>®</w:t>
            </w:r>
            <w:r>
              <w:rPr>
                <w:rFonts w:ascii="Georgia" w:cs="Georgia" w:eastAsia="Georgia" w:hAnsi="Georgia"/>
                <w:sz w:val="14"/>
                <w:szCs w:val="14"/>
                <w:color w:val="auto"/>
              </w:rPr>
              <w:t xml:space="preserve"> Index (Bloomberg ticker:</w:t>
            </w:r>
          </w:p>
        </w:tc>
      </w:tr>
      <w:tr>
        <w:trPr>
          <w:trHeight w:val="194"/>
        </w:trPr>
        <w:tc>
          <w:tcPr>
            <w:tcW w:w="1900" w:type="dxa"/>
            <w:vAlign w:val="bottom"/>
            <w:tcBorders>
              <w:left w:val="single" w:sz="8" w:color="auto"/>
              <w:right w:val="single" w:sz="8" w:color="auto"/>
            </w:tcBorders>
          </w:tcPr>
          <w:p>
            <w:pPr>
              <w:spacing w:after="0"/>
              <w:rPr>
                <w:sz w:val="16"/>
                <w:szCs w:val="16"/>
                <w:color w:val="auto"/>
              </w:rPr>
            </w:pPr>
          </w:p>
        </w:tc>
        <w:tc>
          <w:tcPr>
            <w:tcW w:w="3600" w:type="dxa"/>
            <w:vAlign w:val="bottom"/>
            <w:tcBorders>
              <w:right w:val="single" w:sz="8" w:color="auto"/>
            </w:tcBorders>
            <w:gridSpan w:val="7"/>
          </w:tcPr>
          <w:p>
            <w:pPr>
              <w:ind w:left="100"/>
              <w:spacing w:after="0" w:line="194" w:lineRule="exact"/>
              <w:rPr>
                <w:sz w:val="20"/>
                <w:szCs w:val="20"/>
                <w:color w:val="auto"/>
              </w:rPr>
            </w:pPr>
            <w:r>
              <w:rPr>
                <w:rFonts w:ascii="Georgia" w:cs="Georgia" w:eastAsia="Georgia" w:hAnsi="Georgia"/>
                <w:sz w:val="14"/>
                <w:szCs w:val="14"/>
                <w:color w:val="auto"/>
              </w:rPr>
              <w:t>RTY) and Nasdaq-100 Index</w:t>
            </w:r>
            <w:r>
              <w:rPr>
                <w:rFonts w:ascii="Georgia" w:cs="Georgia" w:eastAsia="Georgia" w:hAnsi="Georgia"/>
                <w:sz w:val="22"/>
                <w:szCs w:val="22"/>
                <w:color w:val="auto"/>
                <w:vertAlign w:val="superscript"/>
              </w:rPr>
              <w:t>®</w:t>
            </w:r>
            <w:r>
              <w:rPr>
                <w:rFonts w:ascii="Georgia" w:cs="Georgia" w:eastAsia="Georgia" w:hAnsi="Georgia"/>
                <w:sz w:val="14"/>
                <w:szCs w:val="14"/>
                <w:color w:val="auto"/>
              </w:rPr>
              <w:t xml:space="preserve"> (Bloomberg ticker:</w:t>
            </w: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NDX)</w:t>
            </w: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June 26, 2026</w:t>
            </w: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July 1, 2026</w:t>
            </w: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Final Calculation Day</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June 26, 2029</w:t>
            </w: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June 29, 2029</w:t>
            </w:r>
          </w:p>
        </w:tc>
      </w:tr>
      <w:tr>
        <w:trPr>
          <w:trHeight w:val="156"/>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Principal Amount:</w:t>
            </w:r>
          </w:p>
        </w:tc>
        <w:tc>
          <w:tcPr>
            <w:tcW w:w="3600" w:type="dxa"/>
            <w:vAlign w:val="bottom"/>
            <w:tcBorders>
              <w:bottom w:val="single" w:sz="8" w:color="auto"/>
              <w:right w:val="single" w:sz="8" w:color="auto"/>
            </w:tcBorders>
            <w:gridSpan w:val="7"/>
          </w:tcPr>
          <w:p>
            <w:pPr>
              <w:ind w:left="100"/>
              <w:spacing w:after="0" w:line="156" w:lineRule="exact"/>
              <w:rPr>
                <w:sz w:val="20"/>
                <w:szCs w:val="20"/>
                <w:color w:val="auto"/>
              </w:rPr>
            </w:pPr>
            <w:r>
              <w:rPr>
                <w:rFonts w:ascii="Georgia" w:cs="Georgia" w:eastAsia="Georgia" w:hAnsi="Georgia"/>
                <w:sz w:val="14"/>
                <w:szCs w:val="14"/>
                <w:color w:val="auto"/>
              </w:rPr>
              <w:t>$1,000 per security (100% of par)</w:t>
            </w:r>
          </w:p>
        </w:tc>
      </w:tr>
      <w:tr>
        <w:trPr>
          <w:trHeight w:val="158"/>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Automatic Call:</w:t>
            </w: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If the closing level of the lowest performing Index on</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the call date is greater than or equal to its starting</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level, the securities will be automatically called, and</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on the call settlement date, investors will receive the</w:t>
            </w: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 xml:space="preserve">principal amount </w:t>
            </w:r>
            <w:r>
              <w:rPr>
                <w:rFonts w:ascii="Georgia" w:cs="Georgia" w:eastAsia="Georgia" w:hAnsi="Georgia"/>
                <w:sz w:val="14"/>
                <w:szCs w:val="14"/>
                <w:i w:val="1"/>
                <w:iCs w:val="1"/>
                <w:color w:val="auto"/>
              </w:rPr>
              <w:t>plus</w:t>
            </w:r>
            <w:r>
              <w:rPr>
                <w:rFonts w:ascii="Georgia" w:cs="Georgia" w:eastAsia="Georgia" w:hAnsi="Georgia"/>
                <w:sz w:val="14"/>
                <w:szCs w:val="14"/>
                <w:color w:val="auto"/>
              </w:rPr>
              <w:t xml:space="preserve"> the call premium.</w:t>
            </w:r>
          </w:p>
        </w:tc>
      </w:tr>
      <w:tr>
        <w:trPr>
          <w:trHeight w:val="158"/>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Call Premium:</w:t>
            </w: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At least 24.45% of the principal amount (the actual</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call premium will be provided in the pricing</w:t>
            </w: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supplement)</w:t>
            </w: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Call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July 1, 2027</w:t>
            </w: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Call Settlement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Three business days after the call date</w:t>
            </w:r>
          </w:p>
        </w:tc>
      </w:tr>
      <w:tr>
        <w:trPr>
          <w:trHeight w:val="159"/>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Maturity Payment</w:t>
            </w: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If the securities are not automatically called on the</w:t>
            </w:r>
          </w:p>
        </w:tc>
      </w:tr>
      <w:tr>
        <w:trPr>
          <w:trHeight w:val="145"/>
        </w:trPr>
        <w:tc>
          <w:tcPr>
            <w:tcW w:w="1900" w:type="dxa"/>
            <w:vAlign w:val="bottom"/>
            <w:tcBorders>
              <w:left w:val="single" w:sz="8" w:color="auto"/>
              <w:right w:val="single" w:sz="8" w:color="auto"/>
            </w:tcBorders>
          </w:tcPr>
          <w:p>
            <w:pPr>
              <w:ind w:left="120"/>
              <w:spacing w:after="0" w:line="146" w:lineRule="exact"/>
              <w:rPr>
                <w:sz w:val="20"/>
                <w:szCs w:val="20"/>
                <w:color w:val="auto"/>
              </w:rPr>
            </w:pPr>
            <w:r>
              <w:rPr>
                <w:rFonts w:ascii="Georgia" w:cs="Georgia" w:eastAsia="Georgia" w:hAnsi="Georgia"/>
                <w:sz w:val="14"/>
                <w:szCs w:val="14"/>
                <w:color w:val="auto"/>
              </w:rPr>
              <w:t>Amount:</w:t>
            </w:r>
          </w:p>
        </w:tc>
        <w:tc>
          <w:tcPr>
            <w:tcW w:w="3600" w:type="dxa"/>
            <w:vAlign w:val="bottom"/>
            <w:tcBorders>
              <w:right w:val="single" w:sz="8" w:color="auto"/>
            </w:tcBorders>
            <w:gridSpan w:val="7"/>
          </w:tcPr>
          <w:p>
            <w:pPr>
              <w:ind w:left="100"/>
              <w:spacing w:after="0" w:line="146" w:lineRule="exact"/>
              <w:rPr>
                <w:sz w:val="20"/>
                <w:szCs w:val="20"/>
                <w:color w:val="auto"/>
              </w:rPr>
            </w:pPr>
            <w:r>
              <w:rPr>
                <w:rFonts w:ascii="Georgia" w:cs="Georgia" w:eastAsia="Georgia" w:hAnsi="Georgia"/>
                <w:sz w:val="14"/>
                <w:szCs w:val="14"/>
                <w:color w:val="auto"/>
              </w:rPr>
              <w:t>call date, the “maturity payment amount” per</w:t>
            </w:r>
          </w:p>
        </w:tc>
      </w:tr>
      <w:tr>
        <w:trPr>
          <w:trHeight w:val="20"/>
        </w:trPr>
        <w:tc>
          <w:tcPr>
            <w:tcW w:w="190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r>
      <w:tr>
        <w:trPr>
          <w:trHeight w:val="158"/>
        </w:trPr>
        <w:tc>
          <w:tcPr>
            <w:tcW w:w="1900" w:type="dxa"/>
            <w:vAlign w:val="bottom"/>
            <w:tcBorders>
              <w:left w:val="single" w:sz="8" w:color="auto"/>
              <w:right w:val="single" w:sz="8" w:color="auto"/>
            </w:tcBorders>
          </w:tcPr>
          <w:p>
            <w:pPr>
              <w:spacing w:after="0"/>
              <w:rPr>
                <w:sz w:val="13"/>
                <w:szCs w:val="13"/>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security will equal:</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If the ending level of the lowest performing Index on</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the final calculation day is greater than its starting</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level:</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$1,000 + ($1,000 × index return of the lowest</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performing Index on the final calculation day ×</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upside participation rate);</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If the ending level of the lowest performing Index on</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the final calculation day is less than or equal to its</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starting level, but greater than or equal to its</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threshold level: $1,000; or</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If the ending level of the lowest performing Index on</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the final calculation day is less than its threshold</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level:</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$1,000 + ($1,000 × index return of the lowest</w:t>
            </w: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performing Index on the final calculation day)</w:t>
            </w:r>
          </w:p>
        </w:tc>
      </w:tr>
      <w:tr>
        <w:trPr>
          <w:trHeight w:val="158"/>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Lowest Performing Index:</w:t>
            </w: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On the call date or the final calculation day, the Index</w:t>
            </w: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with the lowest index return on that day</w:t>
            </w:r>
          </w:p>
        </w:tc>
      </w:tr>
      <w:tr>
        <w:trPr>
          <w:trHeight w:val="155"/>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Starting Level:</w:t>
            </w:r>
          </w:p>
        </w:tc>
        <w:tc>
          <w:tcPr>
            <w:tcW w:w="3600" w:type="dxa"/>
            <w:vAlign w:val="bottom"/>
            <w:tcBorders>
              <w:bottom w:val="single" w:sz="8" w:color="auto"/>
              <w:right w:val="single" w:sz="8" w:color="auto"/>
            </w:tcBorders>
            <w:gridSpan w:val="7"/>
          </w:tcPr>
          <w:p>
            <w:pPr>
              <w:ind w:left="100"/>
              <w:spacing w:after="0" w:line="156" w:lineRule="exact"/>
              <w:rPr>
                <w:sz w:val="20"/>
                <w:szCs w:val="20"/>
                <w:color w:val="auto"/>
              </w:rPr>
            </w:pPr>
            <w:r>
              <w:rPr>
                <w:rFonts w:ascii="Georgia" w:cs="Georgia" w:eastAsia="Georgia" w:hAnsi="Georgia"/>
                <w:sz w:val="14"/>
                <w:szCs w:val="14"/>
                <w:color w:val="auto"/>
              </w:rPr>
              <w:t>For each Index, its closing level on the pricing date</w:t>
            </w:r>
          </w:p>
        </w:tc>
      </w:tr>
      <w:tr>
        <w:trPr>
          <w:trHeight w:val="158"/>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Ending Level:</w:t>
            </w: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For each Index, its closing level on the final</w:t>
            </w: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calculation day</w:t>
            </w:r>
          </w:p>
        </w:tc>
      </w:tr>
      <w:tr>
        <w:trPr>
          <w:trHeight w:val="158"/>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Upside Participation</w:t>
            </w:r>
          </w:p>
        </w:tc>
        <w:tc>
          <w:tcPr>
            <w:tcW w:w="520" w:type="dxa"/>
            <w:vAlign w:val="bottom"/>
            <w:gridSpan w:val="2"/>
          </w:tcPr>
          <w:p>
            <w:pPr>
              <w:ind w:left="100"/>
              <w:spacing w:after="0"/>
              <w:rPr>
                <w:sz w:val="20"/>
                <w:szCs w:val="20"/>
                <w:color w:val="auto"/>
              </w:rPr>
            </w:pPr>
            <w:r>
              <w:rPr>
                <w:rFonts w:ascii="Georgia" w:cs="Georgia" w:eastAsia="Georgia" w:hAnsi="Georgia"/>
                <w:sz w:val="14"/>
                <w:szCs w:val="14"/>
                <w:color w:val="auto"/>
              </w:rPr>
              <w:t>125%</w:t>
            </w: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59"/>
        </w:trPr>
        <w:tc>
          <w:tcPr>
            <w:tcW w:w="190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Rate:</w:t>
            </w: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5"/>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Threshold Level:</w:t>
            </w:r>
          </w:p>
        </w:tc>
        <w:tc>
          <w:tcPr>
            <w:tcW w:w="3600" w:type="dxa"/>
            <w:vAlign w:val="bottom"/>
            <w:tcBorders>
              <w:bottom w:val="single" w:sz="8" w:color="auto"/>
              <w:right w:val="single" w:sz="8" w:color="auto"/>
            </w:tcBorders>
            <w:gridSpan w:val="7"/>
          </w:tcPr>
          <w:p>
            <w:pPr>
              <w:ind w:left="100"/>
              <w:spacing w:after="0" w:line="156" w:lineRule="exact"/>
              <w:rPr>
                <w:sz w:val="20"/>
                <w:szCs w:val="20"/>
                <w:color w:val="auto"/>
              </w:rPr>
            </w:pPr>
            <w:r>
              <w:rPr>
                <w:rFonts w:ascii="Georgia" w:cs="Georgia" w:eastAsia="Georgia" w:hAnsi="Georgia"/>
                <w:sz w:val="14"/>
                <w:szCs w:val="14"/>
                <w:color w:val="auto"/>
              </w:rPr>
              <w:t>For each Index, 70% of its starting level</w:t>
            </w:r>
          </w:p>
        </w:tc>
      </w:tr>
      <w:tr>
        <w:trPr>
          <w:trHeight w:val="158"/>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Index Return:</w:t>
            </w: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For the call date or the final calculation day and for</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each Index: (closing level on that day – starting level)</w:t>
            </w: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 starting level</w:t>
            </w:r>
          </w:p>
        </w:tc>
      </w:tr>
      <w:tr>
        <w:trPr>
          <w:trHeight w:val="149"/>
        </w:trPr>
        <w:tc>
          <w:tcPr>
            <w:tcW w:w="19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4"/>
                <w:szCs w:val="14"/>
                <w:color w:val="auto"/>
              </w:rPr>
              <w:t>Calculation Agent:</w:t>
            </w:r>
          </w:p>
        </w:tc>
        <w:tc>
          <w:tcPr>
            <w:tcW w:w="3600" w:type="dxa"/>
            <w:vAlign w:val="bottom"/>
            <w:tcBorders>
              <w:bottom w:val="single" w:sz="8" w:color="auto"/>
              <w:right w:val="single" w:sz="8" w:color="auto"/>
            </w:tcBorders>
            <w:gridSpan w:val="7"/>
          </w:tcPr>
          <w:p>
            <w:pPr>
              <w:ind w:left="100"/>
              <w:spacing w:after="0" w:line="142" w:lineRule="exact"/>
              <w:rPr>
                <w:sz w:val="20"/>
                <w:szCs w:val="20"/>
                <w:color w:val="auto"/>
              </w:rPr>
            </w:pPr>
            <w:r>
              <w:rPr>
                <w:rFonts w:ascii="Georgia" w:cs="Georgia" w:eastAsia="Georgia" w:hAnsi="Georgia"/>
                <w:sz w:val="14"/>
                <w:szCs w:val="14"/>
                <w:color w:val="auto"/>
              </w:rPr>
              <w:t>J.P. Morgan Securities LLC (“JPMS”)</w:t>
            </w:r>
          </w:p>
        </w:tc>
      </w:tr>
      <w:tr>
        <w:trPr>
          <w:trHeight w:val="162"/>
        </w:trPr>
        <w:tc>
          <w:tcPr>
            <w:tcW w:w="190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Denominations:</w:t>
            </w: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$1,000 and any integral multiple of $1,000</w:t>
            </w:r>
          </w:p>
        </w:tc>
      </w:tr>
      <w:tr>
        <w:trPr>
          <w:trHeight w:val="155"/>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CUSIP:</w:t>
            </w:r>
          </w:p>
        </w:tc>
        <w:tc>
          <w:tcPr>
            <w:tcW w:w="3600" w:type="dxa"/>
            <w:vAlign w:val="bottom"/>
            <w:tcBorders>
              <w:bottom w:val="single" w:sz="8" w:color="auto"/>
              <w:right w:val="single" w:sz="8" w:color="auto"/>
            </w:tcBorders>
            <w:gridSpan w:val="7"/>
          </w:tcPr>
          <w:p>
            <w:pPr>
              <w:ind w:left="100"/>
              <w:spacing w:after="0" w:line="156" w:lineRule="exact"/>
              <w:rPr>
                <w:sz w:val="20"/>
                <w:szCs w:val="20"/>
                <w:color w:val="auto"/>
              </w:rPr>
            </w:pPr>
            <w:r>
              <w:rPr>
                <w:rFonts w:ascii="Georgia" w:cs="Georgia" w:eastAsia="Georgia" w:hAnsi="Georgia"/>
                <w:sz w:val="14"/>
                <w:szCs w:val="14"/>
                <w:color w:val="auto"/>
              </w:rPr>
              <w:t>46661CYX8</w:t>
            </w:r>
          </w:p>
        </w:tc>
      </w:tr>
      <w:tr>
        <w:trPr>
          <w:trHeight w:val="159"/>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Fees and Commissions:</w:t>
            </w: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Up to 2.575% for Wells Fargo Securities, LLC</w:t>
            </w:r>
          </w:p>
        </w:tc>
      </w:tr>
      <w:tr>
        <w:trPr>
          <w:trHeight w:val="145"/>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line="146" w:lineRule="exact"/>
              <w:rPr>
                <w:sz w:val="20"/>
                <w:szCs w:val="20"/>
                <w:color w:val="auto"/>
              </w:rPr>
            </w:pPr>
            <w:r>
              <w:rPr>
                <w:rFonts w:ascii="Georgia" w:cs="Georgia" w:eastAsia="Georgia" w:hAnsi="Georgia"/>
                <w:sz w:val="14"/>
                <w:szCs w:val="14"/>
                <w:color w:val="auto"/>
              </w:rPr>
              <w:t>(“WFS”); WFS has advised us that dealers, including</w:t>
            </w:r>
          </w:p>
        </w:tc>
      </w:tr>
      <w:tr>
        <w:trPr>
          <w:trHeight w:val="20"/>
        </w:trPr>
        <w:tc>
          <w:tcPr>
            <w:tcW w:w="190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right w:val="single" w:sz="8" w:color="auto"/>
            </w:tcBorders>
            <w:gridSpan w:val="2"/>
          </w:tcPr>
          <w:p>
            <w:pPr>
              <w:spacing w:after="0" w:line="20" w:lineRule="exact"/>
              <w:rPr>
                <w:sz w:val="1"/>
                <w:szCs w:val="1"/>
                <w:color w:val="auto"/>
              </w:rPr>
            </w:pPr>
          </w:p>
        </w:tc>
      </w:tr>
      <w:tr>
        <w:trPr>
          <w:trHeight w:val="142"/>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line="142" w:lineRule="exact"/>
              <w:rPr>
                <w:sz w:val="20"/>
                <w:szCs w:val="20"/>
                <w:color w:val="auto"/>
              </w:rPr>
            </w:pPr>
            <w:r>
              <w:rPr>
                <w:rFonts w:ascii="Georgia" w:cs="Georgia" w:eastAsia="Georgia" w:hAnsi="Georgia"/>
                <w:sz w:val="14"/>
                <w:szCs w:val="14"/>
                <w:color w:val="auto"/>
              </w:rPr>
              <w:t>Wells Fargo Advisors (“WFA”), may receive 2.00% of</w:t>
            </w:r>
          </w:p>
        </w:tc>
      </w:tr>
      <w:tr>
        <w:trPr>
          <w:trHeight w:val="20"/>
        </w:trPr>
        <w:tc>
          <w:tcPr>
            <w:tcW w:w="1900" w:type="dxa"/>
            <w:vAlign w:val="bottom"/>
            <w:tcBorders>
              <w:left w:val="single" w:sz="8" w:color="auto"/>
              <w:right w:val="single" w:sz="8" w:color="auto"/>
            </w:tcBorders>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80" w:type="dxa"/>
            <w:vAlign w:val="bottom"/>
            <w:tcBorders>
              <w:right w:val="single" w:sz="8" w:color="auto"/>
            </w:tcBorders>
            <w:gridSpan w:val="2"/>
          </w:tcPr>
          <w:p>
            <w:pPr>
              <w:spacing w:after="0" w:line="20" w:lineRule="exact"/>
              <w:rPr>
                <w:sz w:val="1"/>
                <w:szCs w:val="1"/>
                <w:color w:val="auto"/>
              </w:rPr>
            </w:pPr>
          </w:p>
        </w:tc>
      </w:tr>
      <w:tr>
        <w:trPr>
          <w:trHeight w:val="159"/>
        </w:trPr>
        <w:tc>
          <w:tcPr>
            <w:tcW w:w="1900" w:type="dxa"/>
            <w:vAlign w:val="bottom"/>
            <w:tcBorders>
              <w:left w:val="single" w:sz="8" w:color="auto"/>
              <w:right w:val="single" w:sz="8" w:color="auto"/>
            </w:tcBorders>
          </w:tcPr>
          <w:p>
            <w:pPr>
              <w:spacing w:after="0"/>
              <w:rPr>
                <w:sz w:val="13"/>
                <w:szCs w:val="13"/>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WFS’s fee, and WFA may also receive a distribution</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expense fee of 0.075%. In addition, in respect of</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certain securities sold in this offering, JPMS may pay</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a fee of up to 0.30% to selected dealers in</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consideration for marketing and other services in</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connection with the distribution of the securities to</w:t>
            </w: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4"/>
                <w:szCs w:val="14"/>
                <w:color w:val="auto"/>
              </w:rPr>
              <w:t>other dealers.</w:t>
            </w:r>
          </w:p>
        </w:tc>
      </w:tr>
      <w:tr>
        <w:trPr>
          <w:trHeight w:val="156"/>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Tax Considerations:</w:t>
            </w:r>
          </w:p>
        </w:tc>
        <w:tc>
          <w:tcPr>
            <w:tcW w:w="3600" w:type="dxa"/>
            <w:vAlign w:val="bottom"/>
            <w:tcBorders>
              <w:bottom w:val="single" w:sz="8" w:color="auto"/>
              <w:right w:val="single" w:sz="8" w:color="auto"/>
            </w:tcBorders>
            <w:gridSpan w:val="7"/>
          </w:tcPr>
          <w:p>
            <w:pPr>
              <w:ind w:left="100"/>
              <w:spacing w:after="0" w:line="156" w:lineRule="exact"/>
              <w:rPr>
                <w:sz w:val="20"/>
                <w:szCs w:val="20"/>
                <w:color w:val="auto"/>
              </w:rPr>
            </w:pPr>
            <w:r>
              <w:rPr>
                <w:rFonts w:ascii="Georgia" w:cs="Georgia" w:eastAsia="Georgia" w:hAnsi="Georgia"/>
                <w:sz w:val="14"/>
                <w:szCs w:val="14"/>
                <w:color w:val="auto"/>
              </w:rPr>
              <w:t>See the preliminary pricing supplement.</w:t>
            </w:r>
          </w:p>
        </w:tc>
      </w:tr>
      <w:tr>
        <w:trPr>
          <w:trHeight w:val="201"/>
        </w:trPr>
        <w:tc>
          <w:tcPr>
            <w:tcW w:w="1900" w:type="dxa"/>
            <w:vAlign w:val="bottom"/>
            <w:tcBorders>
              <w:left w:val="single" w:sz="8" w:color="auto"/>
            </w:tcBorders>
          </w:tcPr>
          <w:p>
            <w:pPr>
              <w:ind w:left="120"/>
              <w:spacing w:after="0" w:line="200" w:lineRule="exact"/>
              <w:rPr>
                <w:sz w:val="20"/>
                <w:szCs w:val="20"/>
                <w:color w:val="auto"/>
              </w:rPr>
            </w:pPr>
            <w:r>
              <w:rPr>
                <w:rFonts w:ascii="Georgia" w:cs="Georgia" w:eastAsia="Georgia" w:hAnsi="Georgia"/>
                <w:sz w:val="22"/>
                <w:szCs w:val="22"/>
                <w:color w:val="auto"/>
                <w:vertAlign w:val="superscript"/>
              </w:rPr>
              <w:t>1</w:t>
            </w:r>
            <w:r>
              <w:rPr>
                <w:rFonts w:ascii="Georgia" w:cs="Georgia" w:eastAsia="Georgia" w:hAnsi="Georgia"/>
                <w:sz w:val="13"/>
                <w:szCs w:val="13"/>
                <w:color w:val="auto"/>
              </w:rPr>
              <w:t xml:space="preserve"> Subject to change</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r>
      <w:tr>
        <w:trPr>
          <w:trHeight w:val="184"/>
        </w:trPr>
        <w:tc>
          <w:tcPr>
            <w:tcW w:w="1900" w:type="dxa"/>
            <w:vAlign w:val="bottom"/>
            <w:tcBorders>
              <w:left w:val="single" w:sz="8" w:color="auto"/>
              <w:bottom w:val="single" w:sz="8" w:color="auto"/>
            </w:tcBorders>
          </w:tcPr>
          <w:p>
            <w:pPr>
              <w:ind w:left="120"/>
              <w:spacing w:after="0" w:line="184" w:lineRule="exact"/>
              <w:rPr>
                <w:sz w:val="20"/>
                <w:szCs w:val="20"/>
                <w:color w:val="auto"/>
              </w:rPr>
            </w:pPr>
            <w:r>
              <w:rPr>
                <w:rFonts w:ascii="Georgia" w:cs="Georgia" w:eastAsia="Georgia" w:hAnsi="Georgia"/>
                <w:sz w:val="21"/>
                <w:szCs w:val="21"/>
                <w:color w:val="auto"/>
                <w:vertAlign w:val="superscript"/>
              </w:rPr>
              <w:t>2</w:t>
            </w:r>
            <w:r>
              <w:rPr>
                <w:rFonts w:ascii="Georgia" w:cs="Georgia" w:eastAsia="Georgia" w:hAnsi="Georgia"/>
                <w:sz w:val="13"/>
                <w:szCs w:val="13"/>
                <w:color w:val="auto"/>
              </w:rPr>
              <w:t xml:space="preserve"> Subject to postponement</w:t>
            </w: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80"/>
        <w:spacing w:after="0"/>
        <w:rPr>
          <w:sz w:val="20"/>
          <w:szCs w:val="20"/>
          <w:color w:val="auto"/>
        </w:rPr>
      </w:pPr>
      <w:r>
        <w:rPr>
          <w:rFonts w:ascii="Verdana" w:cs="Verdana" w:eastAsia="Verdana" w:hAnsi="Verdana"/>
          <w:sz w:val="20"/>
          <w:szCs w:val="20"/>
          <w:color w:val="8F8F8F"/>
        </w:rPr>
        <w:t>Hypothetical Payout Profile*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-1905</wp:posOffset>
            </wp:positionV>
            <wp:extent cx="3368675" cy="2074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8675" cy="2074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right="440"/>
        <w:spacing w:after="0" w:line="248" w:lineRule="auto"/>
        <w:rPr>
          <w:sz w:val="20"/>
          <w:szCs w:val="20"/>
          <w:color w:val="auto"/>
        </w:rPr>
      </w:pPr>
      <w:r>
        <w:rPr>
          <w:rFonts w:ascii="Georgia" w:cs="Georgia" w:eastAsia="Georgia" w:hAnsi="Georgia"/>
          <w:sz w:val="14"/>
          <w:szCs w:val="14"/>
          <w:color w:val="auto"/>
        </w:rPr>
        <w:t>*Assumes a call premium equal to the lowest possible call premium that may be determined on the pricing date</w:t>
      </w:r>
    </w:p>
    <w:p>
      <w:pPr>
        <w:spacing w:after="0" w:line="49" w:lineRule="exact"/>
        <w:rPr>
          <w:sz w:val="24"/>
          <w:szCs w:val="24"/>
          <w:color w:val="auto"/>
        </w:rPr>
      </w:pPr>
    </w:p>
    <w:p>
      <w:pPr>
        <w:ind w:right="140"/>
        <w:spacing w:after="0" w:line="245" w:lineRule="auto"/>
        <w:rPr>
          <w:sz w:val="20"/>
          <w:szCs w:val="20"/>
          <w:color w:val="auto"/>
        </w:rPr>
      </w:pPr>
      <w:r>
        <w:rPr>
          <w:rFonts w:ascii="Georgia" w:cs="Georgia" w:eastAsia="Georgia" w:hAnsi="Georgia"/>
          <w:sz w:val="14"/>
          <w:szCs w:val="14"/>
          <w:b w:val="1"/>
          <w:bCs w:val="1"/>
          <w:color w:val="auto"/>
        </w:rPr>
        <w:t>If the securities are automatically called, the positive return on the securities will be limited to the call premium, even if the closing level of the lowest performing Index on the call date significantly exceeds its starting level. If the securities are automatically called, you will not have the opportunity to participate in any appreciation of the lowest performing Index on the final calculation day at the upside participation rate.</w:t>
      </w:r>
    </w:p>
    <w:p>
      <w:pPr>
        <w:spacing w:after="0" w:line="51" w:lineRule="exact"/>
        <w:rPr>
          <w:sz w:val="24"/>
          <w:szCs w:val="24"/>
          <w:color w:val="auto"/>
        </w:rPr>
      </w:pPr>
    </w:p>
    <w:p>
      <w:pPr>
        <w:ind w:right="180"/>
        <w:spacing w:after="0" w:line="245" w:lineRule="auto"/>
        <w:rPr>
          <w:sz w:val="20"/>
          <w:szCs w:val="20"/>
          <w:color w:val="auto"/>
        </w:rPr>
      </w:pPr>
      <w:r>
        <w:rPr>
          <w:rFonts w:ascii="Georgia" w:cs="Georgia" w:eastAsia="Georgia" w:hAnsi="Georgia"/>
          <w:sz w:val="14"/>
          <w:szCs w:val="14"/>
          <w:b w:val="1"/>
          <w:bCs w:val="1"/>
          <w:color w:val="auto"/>
        </w:rPr>
        <w:t>If the securities are not automatically called and the ending level of the lowest performing Index on the final calculation day is less than its threshold level, you will have full downside exposure to the decrease in the level of that Index from its starting level and you will lose more than 30%, and possibly all, of the principal amount of your securities at maturity.</w:t>
      </w:r>
    </w:p>
    <w:p>
      <w:pPr>
        <w:spacing w:after="0" w:line="52" w:lineRule="exact"/>
        <w:rPr>
          <w:sz w:val="24"/>
          <w:szCs w:val="24"/>
          <w:color w:val="auto"/>
        </w:rPr>
      </w:pPr>
    </w:p>
    <w:p>
      <w:pPr>
        <w:ind w:right="220"/>
        <w:spacing w:after="0" w:line="245" w:lineRule="auto"/>
        <w:rPr>
          <w:sz w:val="20"/>
          <w:szCs w:val="20"/>
          <w:color w:val="auto"/>
        </w:rPr>
      </w:pPr>
      <w:r>
        <w:rPr>
          <w:rFonts w:ascii="Georgia" w:cs="Georgia" w:eastAsia="Georgia" w:hAnsi="Georgia"/>
          <w:sz w:val="14"/>
          <w:szCs w:val="14"/>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4"/>
          <w:szCs w:val="14"/>
          <w:b w:val="1"/>
          <w:bCs w:val="1"/>
          <w:color w:val="auto"/>
        </w:rPr>
        <w:t>Any</w:t>
      </w:r>
      <w:r>
        <w:rPr>
          <w:rFonts w:ascii="Georgia" w:cs="Georgia" w:eastAsia="Georgia" w:hAnsi="Georgia"/>
          <w:sz w:val="14"/>
          <w:szCs w:val="14"/>
          <w:color w:val="auto"/>
        </w:rPr>
        <w:t xml:space="preserve"> </w:t>
      </w:r>
      <w:r>
        <w:rPr>
          <w:rFonts w:ascii="Georgia" w:cs="Georgia" w:eastAsia="Georgia" w:hAnsi="Georgia"/>
          <w:sz w:val="14"/>
          <w:szCs w:val="14"/>
          <w:b w:val="1"/>
          <w:bCs w:val="1"/>
          <w:color w:val="auto"/>
        </w:rPr>
        <w:t>payment on the securities is subject to the credit risk of JPMorgan Financial, as issuer of the securities, and the credit risk of JPMorgan Chase &amp; Co., as guarantor of the securities.</w:t>
      </w:r>
    </w:p>
    <w:p>
      <w:pPr>
        <w:spacing w:after="0" w:line="268" w:lineRule="exact"/>
        <w:rPr>
          <w:sz w:val="24"/>
          <w:szCs w:val="24"/>
          <w:color w:val="auto"/>
        </w:rPr>
      </w:pPr>
    </w:p>
    <w:p>
      <w:pPr>
        <w:spacing w:after="0" w:line="245" w:lineRule="auto"/>
        <w:rPr>
          <w:sz w:val="20"/>
          <w:szCs w:val="20"/>
          <w:color w:val="auto"/>
        </w:rPr>
      </w:pPr>
      <w:r>
        <w:rPr>
          <w:rFonts w:ascii="Georgia" w:cs="Georgia" w:eastAsia="Georgia" w:hAnsi="Georgia"/>
          <w:sz w:val="14"/>
          <w:szCs w:val="14"/>
          <w:color w:val="auto"/>
        </w:rPr>
        <w:t>If the securities priced on the date of the accompanying preliminary pricing supplement, the estimated value of the securities would be approximately $958.90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spacing w:after="0" w:line="268" w:lineRule="exact"/>
        <w:rPr>
          <w:sz w:val="24"/>
          <w:szCs w:val="24"/>
          <w:color w:val="auto"/>
        </w:rPr>
      </w:pPr>
    </w:p>
    <w:p>
      <w:pPr>
        <w:spacing w:after="0"/>
        <w:rPr>
          <w:sz w:val="20"/>
          <w:szCs w:val="20"/>
          <w:color w:val="auto"/>
        </w:rPr>
      </w:pPr>
      <w:r>
        <w:rPr>
          <w:rFonts w:ascii="Georgia" w:cs="Georgia" w:eastAsia="Georgia" w:hAnsi="Georgia"/>
          <w:sz w:val="14"/>
          <w:szCs w:val="14"/>
          <w:color w:val="auto"/>
        </w:rPr>
        <w:t>Preliminary Pricing Supplement:</w:t>
      </w:r>
    </w:p>
    <w:p>
      <w:pPr>
        <w:spacing w:after="0" w:line="3" w:lineRule="exact"/>
        <w:rPr>
          <w:sz w:val="24"/>
          <w:szCs w:val="24"/>
          <w:color w:val="auto"/>
        </w:rPr>
      </w:pPr>
    </w:p>
    <w:p>
      <w:pPr>
        <w:spacing w:after="0"/>
        <w:rPr>
          <w:rFonts w:ascii="Georgia" w:cs="Georgia" w:eastAsia="Georgia" w:hAnsi="Georgia"/>
          <w:sz w:val="14"/>
          <w:szCs w:val="14"/>
          <w:u w:val="single" w:color="auto"/>
          <w:color w:val="0000EE"/>
        </w:rPr>
      </w:pPr>
      <w:hyperlink r:id="rId11">
        <w:r>
          <w:rPr>
            <w:rFonts w:ascii="Georgia" w:cs="Georgia" w:eastAsia="Georgia" w:hAnsi="Georgia"/>
            <w:sz w:val="14"/>
            <w:szCs w:val="14"/>
            <w:u w:val="single" w:color="auto"/>
            <w:color w:val="0000EE"/>
          </w:rPr>
          <w:t>http://www.sec.gov/Archives/edgar/data/19617/000121390026069666/</w:t>
        </w:r>
      </w:hyperlink>
    </w:p>
    <w:p>
      <w:pPr>
        <w:spacing w:after="0" w:line="3" w:lineRule="exact"/>
        <w:rPr>
          <w:sz w:val="24"/>
          <w:szCs w:val="24"/>
          <w:color w:val="auto"/>
        </w:rPr>
      </w:pPr>
    </w:p>
    <w:p>
      <w:pPr>
        <w:spacing w:after="0"/>
        <w:rPr>
          <w:rFonts w:ascii="Georgia" w:cs="Georgia" w:eastAsia="Georgia" w:hAnsi="Georgia"/>
          <w:sz w:val="14"/>
          <w:szCs w:val="14"/>
          <w:u w:val="single" w:color="auto"/>
          <w:color w:val="0000EE"/>
        </w:rPr>
      </w:pPr>
      <w:hyperlink r:id="rId11">
        <w:r>
          <w:rPr>
            <w:rFonts w:ascii="Georgia" w:cs="Georgia" w:eastAsia="Georgia" w:hAnsi="Georgia"/>
            <w:sz w:val="14"/>
            <w:szCs w:val="14"/>
            <w:u w:val="single" w:color="auto"/>
            <w:color w:val="0000EE"/>
          </w:rPr>
          <w:t>ea0295141-01_424b2.htm</w:t>
        </w:r>
      </w:hyperlink>
    </w:p>
    <w:p>
      <w:pPr>
        <w:spacing w:after="0" w:line="2311" w:lineRule="exact"/>
        <w:rPr>
          <w:sz w:val="24"/>
          <w:szCs w:val="24"/>
          <w:color w:val="auto"/>
        </w:rPr>
      </w:pPr>
    </w:p>
    <w:p>
      <w:pPr>
        <w:sectPr>
          <w:pgSz w:w="11900" w:h="16838" w:orient="portrait"/>
          <w:cols w:equalWidth="0" w:num="2">
            <w:col w:w="5500" w:space="240"/>
            <w:col w:w="5480"/>
          </w:cols>
          <w:pgMar w:left="320" w:top="242" w:right="359" w:bottom="684" w:gutter="0" w:footer="0" w:header="0"/>
          <w:type w:val="continuous"/>
        </w:sectPr>
      </w:pPr>
    </w:p>
    <w:p>
      <w:pPr>
        <w:jc w:val="both"/>
        <w:ind w:left="340" w:right="740"/>
        <w:spacing w:after="0" w:line="246"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spacing w:after="0" w:line="51" w:lineRule="exact"/>
        <w:rPr>
          <w:sz w:val="24"/>
          <w:szCs w:val="24"/>
          <w:color w:val="auto"/>
        </w:rPr>
      </w:pPr>
    </w:p>
    <w:p>
      <w:pPr>
        <w:ind w:left="340" w:right="32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210820</wp:posOffset>
            </wp:positionH>
            <wp:positionV relativeFrom="paragraph">
              <wp:posOffset>38100</wp:posOffset>
            </wp:positionV>
            <wp:extent cx="6926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56" w:lineRule="exact"/>
        <w:rPr>
          <w:sz w:val="24"/>
          <w:szCs w:val="24"/>
          <w:color w:val="auto"/>
        </w:rPr>
      </w:pPr>
    </w:p>
    <w:p>
      <w:pPr>
        <w:ind w:left="340" w:right="520"/>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prospectus supplement, product supplement and underlying supplement.</w:t>
      </w:r>
    </w:p>
    <w:p>
      <w:pPr>
        <w:sectPr>
          <w:pgSz w:w="11900" w:h="16838" w:orient="portrait"/>
          <w:cols w:equalWidth="0" w:num="1">
            <w:col w:w="11220"/>
          </w:cols>
          <w:pgMar w:left="320" w:top="242" w:right="359" w:bottom="684"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200"/>
        <w:spacing w:after="0" w:line="250"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p>
      <w:pPr>
        <w:sectPr>
          <w:pgSz w:w="11900" w:h="16838" w:orient="portrait"/>
          <w:cols w:equalWidth="0" w:num="1">
            <w:col w:w="11220"/>
          </w:cols>
          <w:pgMar w:left="320" w:top="543" w:right="359" w:bottom="1440" w:gutter="0" w:footer="0" w:header="0"/>
        </w:sectPr>
      </w:pPr>
    </w:p>
    <w:p>
      <w:pPr>
        <w:spacing w:after="0" w:line="121" w:lineRule="exact"/>
        <w:rPr>
          <w:sz w:val="20"/>
          <w:szCs w:val="20"/>
          <w:color w:val="auto"/>
        </w:rPr>
      </w:pPr>
    </w:p>
    <w:p>
      <w:pPr>
        <w:ind w:left="420" w:right="20" w:hanging="315"/>
        <w:spacing w:after="0" w:line="248" w:lineRule="auto"/>
        <w:tabs>
          <w:tab w:leader="none" w:pos="417"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If the Securities Are Not Automatically Called and the Ending Level of the Lowest Performing Index on the Final Calculation Day Is Less Than Its Threshold Level, You Will Lose More Than 30%, and Possibly All, of the Principal Amount of Your Securities at Maturity.</w:t>
      </w:r>
    </w:p>
    <w:p>
      <w:pPr>
        <w:spacing w:after="0" w:line="42" w:lineRule="exact"/>
        <w:rPr>
          <w:rFonts w:ascii="Arial" w:cs="Arial" w:eastAsia="Arial" w:hAnsi="Arial"/>
          <w:sz w:val="16"/>
          <w:szCs w:val="16"/>
          <w:b w:val="1"/>
          <w:bCs w:val="1"/>
          <w:color w:val="auto"/>
        </w:rPr>
      </w:pPr>
    </w:p>
    <w:p>
      <w:pPr>
        <w:ind w:left="420" w:right="100" w:hanging="315"/>
        <w:spacing w:after="0" w:line="246" w:lineRule="auto"/>
        <w:tabs>
          <w:tab w:leader="none" w:pos="417"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If the Securities Are Automatically Called, the Return on the Securities Will Be Limited to the Call Premium.</w:t>
      </w:r>
    </w:p>
    <w:p>
      <w:pPr>
        <w:spacing w:after="0" w:line="53" w:lineRule="exact"/>
        <w:rPr>
          <w:rFonts w:ascii="Arial" w:cs="Arial" w:eastAsia="Arial" w:hAnsi="Arial"/>
          <w:sz w:val="16"/>
          <w:szCs w:val="16"/>
          <w:b w:val="1"/>
          <w:bCs w:val="1"/>
          <w:color w:val="auto"/>
        </w:rPr>
      </w:pPr>
    </w:p>
    <w:p>
      <w:pPr>
        <w:ind w:left="420" w:hanging="315"/>
        <w:spacing w:after="0"/>
        <w:tabs>
          <w:tab w:leader="none" w:pos="42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 Will Be Subject to Reinvestment Risk.</w:t>
      </w:r>
    </w:p>
    <w:p>
      <w:pPr>
        <w:spacing w:after="0" w:line="60" w:lineRule="exact"/>
        <w:rPr>
          <w:rFonts w:ascii="Arial" w:cs="Arial" w:eastAsia="Arial" w:hAnsi="Arial"/>
          <w:sz w:val="16"/>
          <w:szCs w:val="16"/>
          <w:b w:val="1"/>
          <w:bCs w:val="1"/>
          <w:color w:val="auto"/>
        </w:rPr>
      </w:pPr>
    </w:p>
    <w:p>
      <w:pPr>
        <w:ind w:left="420" w:right="220" w:hanging="315"/>
        <w:spacing w:after="0" w:line="246" w:lineRule="auto"/>
        <w:tabs>
          <w:tab w:leader="none" w:pos="417"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42" w:lineRule="exact"/>
        <w:rPr>
          <w:rFonts w:ascii="Arial" w:cs="Arial" w:eastAsia="Arial" w:hAnsi="Arial"/>
          <w:sz w:val="16"/>
          <w:szCs w:val="16"/>
          <w:b w:val="1"/>
          <w:bCs w:val="1"/>
          <w:color w:val="auto"/>
        </w:rPr>
      </w:pPr>
    </w:p>
    <w:p>
      <w:pPr>
        <w:ind w:left="420" w:right="680" w:hanging="315"/>
        <w:spacing w:after="0" w:line="246" w:lineRule="auto"/>
        <w:tabs>
          <w:tab w:leader="none" w:pos="417"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As a Finance Subsidiary, JPMorgan Financial Has No Independent Activities and Has Limited Assets.</w:t>
      </w:r>
    </w:p>
    <w:p>
      <w:pPr>
        <w:spacing w:after="0" w:line="55" w:lineRule="exact"/>
        <w:rPr>
          <w:rFonts w:ascii="Arial" w:cs="Arial" w:eastAsia="Arial" w:hAnsi="Arial"/>
          <w:sz w:val="16"/>
          <w:szCs w:val="16"/>
          <w:b w:val="1"/>
          <w:bCs w:val="1"/>
          <w:color w:val="auto"/>
        </w:rPr>
      </w:pPr>
    </w:p>
    <w:p>
      <w:pPr>
        <w:ind w:left="420" w:right="200" w:hanging="315"/>
        <w:spacing w:after="0" w:line="246" w:lineRule="auto"/>
        <w:tabs>
          <w:tab w:leader="none" w:pos="417"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 Are Exposed to the Risk of Decline in the Level of Each Index.</w:t>
      </w:r>
    </w:p>
    <w:p>
      <w:pPr>
        <w:spacing w:after="0" w:line="15" w:lineRule="exact"/>
        <w:rPr>
          <w:rFonts w:ascii="Arial" w:cs="Arial" w:eastAsia="Arial" w:hAnsi="Arial"/>
          <w:sz w:val="16"/>
          <w:szCs w:val="16"/>
          <w:b w:val="1"/>
          <w:bCs w:val="1"/>
          <w:color w:val="auto"/>
        </w:rPr>
      </w:pPr>
    </w:p>
    <w:p>
      <w:pPr>
        <w:ind w:left="420" w:right="180" w:hanging="315"/>
        <w:spacing w:after="0" w:line="246" w:lineRule="auto"/>
        <w:tabs>
          <w:tab w:leader="none" w:pos="417"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Your Maturity Payment Amount Will Be Determined by the Lowest Performing Index.</w:t>
      </w:r>
    </w:p>
    <w:p>
      <w:pPr>
        <w:spacing w:after="0" w:line="55" w:lineRule="exact"/>
        <w:rPr>
          <w:rFonts w:ascii="Arial" w:cs="Arial" w:eastAsia="Arial" w:hAnsi="Arial"/>
          <w:sz w:val="16"/>
          <w:szCs w:val="16"/>
          <w:b w:val="1"/>
          <w:bCs w:val="1"/>
          <w:color w:val="auto"/>
        </w:rPr>
      </w:pPr>
    </w:p>
    <w:p>
      <w:pPr>
        <w:ind w:left="420" w:right="40" w:hanging="315"/>
        <w:spacing w:after="0" w:line="246" w:lineRule="auto"/>
        <w:tabs>
          <w:tab w:leader="none" w:pos="417"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 Will Be Subject to Risks Resulting from the Relationship Among the Indices.</w:t>
      </w:r>
    </w:p>
    <w:p>
      <w:pPr>
        <w:spacing w:after="0" w:line="42" w:lineRule="exact"/>
        <w:rPr>
          <w:rFonts w:ascii="Arial" w:cs="Arial" w:eastAsia="Arial" w:hAnsi="Arial"/>
          <w:sz w:val="16"/>
          <w:szCs w:val="16"/>
          <w:b w:val="1"/>
          <w:bCs w:val="1"/>
          <w:color w:val="auto"/>
        </w:rPr>
      </w:pPr>
    </w:p>
    <w:p>
      <w:pPr>
        <w:ind w:left="420" w:right="100" w:hanging="315"/>
        <w:spacing w:after="0" w:line="246" w:lineRule="auto"/>
        <w:tabs>
          <w:tab w:leader="none" w:pos="417"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Benefit Provided by the Threshold Level May Terminate on the Final Calculation Day.</w:t>
      </w:r>
    </w:p>
    <w:p>
      <w:pPr>
        <w:spacing w:after="0" w:line="53" w:lineRule="exact"/>
        <w:rPr>
          <w:rFonts w:ascii="Arial" w:cs="Arial" w:eastAsia="Arial" w:hAnsi="Arial"/>
          <w:sz w:val="16"/>
          <w:szCs w:val="16"/>
          <w:b w:val="1"/>
          <w:bCs w:val="1"/>
          <w:color w:val="auto"/>
        </w:rPr>
      </w:pPr>
    </w:p>
    <w:p>
      <w:pPr>
        <w:ind w:left="420" w:hanging="315"/>
        <w:spacing w:after="0"/>
        <w:tabs>
          <w:tab w:leader="none" w:pos="42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No Interest or Dividend Payments or Voting Rights</w:t>
      </w:r>
    </w:p>
    <w:p>
      <w:pPr>
        <w:spacing w:after="0" w:line="57" w:lineRule="exact"/>
        <w:rPr>
          <w:rFonts w:ascii="Arial" w:cs="Arial" w:eastAsia="Arial" w:hAnsi="Arial"/>
          <w:sz w:val="16"/>
          <w:szCs w:val="16"/>
          <w:b w:val="1"/>
          <w:bCs w:val="1"/>
          <w:color w:val="auto"/>
        </w:rPr>
      </w:pPr>
    </w:p>
    <w:p>
      <w:pPr>
        <w:ind w:left="420" w:hanging="315"/>
        <w:spacing w:after="0"/>
        <w:tabs>
          <w:tab w:leader="none" w:pos="42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Lack of Liquidity</w:t>
      </w:r>
    </w:p>
    <w:p>
      <w:pPr>
        <w:spacing w:after="0" w:line="46" w:lineRule="exact"/>
        <w:rPr>
          <w:rFonts w:ascii="Arial" w:cs="Arial" w:eastAsia="Arial" w:hAnsi="Arial"/>
          <w:sz w:val="16"/>
          <w:szCs w:val="16"/>
          <w:b w:val="1"/>
          <w:bCs w:val="1"/>
          <w:color w:val="auto"/>
        </w:rPr>
      </w:pPr>
    </w:p>
    <w:p>
      <w:pPr>
        <w:ind w:left="420" w:right="240" w:hanging="315"/>
        <w:spacing w:after="0" w:line="246" w:lineRule="auto"/>
        <w:tabs>
          <w:tab w:leader="none" w:pos="417"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55" w:lineRule="exact"/>
        <w:rPr>
          <w:rFonts w:ascii="Arial" w:cs="Arial" w:eastAsia="Arial" w:hAnsi="Arial"/>
          <w:sz w:val="16"/>
          <w:szCs w:val="16"/>
          <w:b w:val="1"/>
          <w:bCs w:val="1"/>
          <w:color w:val="auto"/>
        </w:rPr>
      </w:pPr>
    </w:p>
    <w:p>
      <w:pPr>
        <w:ind w:left="420" w:right="60" w:hanging="315"/>
        <w:spacing w:after="0" w:line="246" w:lineRule="auto"/>
        <w:tabs>
          <w:tab w:leader="none" w:pos="417"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39" w:lineRule="exact"/>
        <w:rPr>
          <w:rFonts w:ascii="Arial" w:cs="Arial" w:eastAsia="Arial" w:hAnsi="Arial"/>
          <w:sz w:val="16"/>
          <w:szCs w:val="16"/>
          <w:b w:val="1"/>
          <w:bCs w:val="1"/>
          <w:color w:val="auto"/>
        </w:rPr>
      </w:pPr>
    </w:p>
    <w:p>
      <w:pPr>
        <w:ind w:left="420" w:hanging="315"/>
        <w:spacing w:after="0"/>
        <w:tabs>
          <w:tab w:leader="none" w:pos="42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Potential Conflicts</w:t>
      </w:r>
    </w:p>
    <w:p>
      <w:pPr>
        <w:spacing w:after="0" w:line="60" w:lineRule="exact"/>
        <w:rPr>
          <w:rFonts w:ascii="Arial" w:cs="Arial" w:eastAsia="Arial" w:hAnsi="Arial"/>
          <w:sz w:val="16"/>
          <w:szCs w:val="16"/>
          <w:b w:val="1"/>
          <w:bCs w:val="1"/>
          <w:color w:val="auto"/>
        </w:rPr>
      </w:pPr>
    </w:p>
    <w:p>
      <w:pPr>
        <w:jc w:val="both"/>
        <w:ind w:left="420" w:right="300" w:hanging="315"/>
        <w:spacing w:after="0" w:line="246" w:lineRule="auto"/>
        <w:tabs>
          <w:tab w:leader="none" w:pos="417"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55" w:lineRule="exact"/>
        <w:rPr>
          <w:rFonts w:ascii="Arial" w:cs="Arial" w:eastAsia="Arial" w:hAnsi="Arial"/>
          <w:sz w:val="16"/>
          <w:szCs w:val="16"/>
          <w:b w:val="1"/>
          <w:bCs w:val="1"/>
          <w:color w:val="auto"/>
        </w:rPr>
      </w:pPr>
    </w:p>
    <w:p>
      <w:pPr>
        <w:ind w:left="420" w:right="140" w:hanging="315"/>
        <w:spacing w:after="0" w:line="247" w:lineRule="auto"/>
        <w:tabs>
          <w:tab w:leader="none" w:pos="417"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42" w:lineRule="exact"/>
        <w:rPr>
          <w:rFonts w:ascii="Arial" w:cs="Arial" w:eastAsia="Arial" w:hAnsi="Arial"/>
          <w:sz w:val="16"/>
          <w:szCs w:val="16"/>
          <w:b w:val="1"/>
          <w:bCs w:val="1"/>
          <w:color w:val="auto"/>
        </w:rPr>
      </w:pPr>
    </w:p>
    <w:p>
      <w:pPr>
        <w:ind w:left="420" w:right="840" w:hanging="315"/>
        <w:spacing w:after="0" w:line="246" w:lineRule="auto"/>
        <w:tabs>
          <w:tab w:leader="none" w:pos="417"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55" w:lineRule="exact"/>
        <w:rPr>
          <w:rFonts w:ascii="Arial" w:cs="Arial" w:eastAsia="Arial" w:hAnsi="Arial"/>
          <w:sz w:val="16"/>
          <w:szCs w:val="16"/>
          <w:b w:val="1"/>
          <w:bCs w:val="1"/>
          <w:color w:val="auto"/>
        </w:rPr>
      </w:pPr>
    </w:p>
    <w:p>
      <w:pPr>
        <w:ind w:left="420" w:hanging="315"/>
        <w:spacing w:after="0" w:line="248" w:lineRule="auto"/>
        <w:tabs>
          <w:tab w:leader="none" w:pos="417"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319" w:right="500" w:hanging="319"/>
        <w:spacing w:after="0" w:line="246" w:lineRule="auto"/>
        <w:tabs>
          <w:tab w:leader="none" w:pos="316"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42" w:lineRule="exact"/>
        <w:rPr>
          <w:rFonts w:ascii="Arial" w:cs="Arial" w:eastAsia="Arial" w:hAnsi="Arial"/>
          <w:sz w:val="16"/>
          <w:szCs w:val="16"/>
          <w:b w:val="1"/>
          <w:bCs w:val="1"/>
          <w:color w:val="auto"/>
        </w:rPr>
      </w:pPr>
    </w:p>
    <w:p>
      <w:pPr>
        <w:ind w:left="319" w:right="120" w:hanging="319"/>
        <w:spacing w:after="0" w:line="246" w:lineRule="auto"/>
        <w:tabs>
          <w:tab w:leader="none" w:pos="316"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Many Economic and Market Factors Will Impact the Value of the Securities.</w:t>
      </w:r>
    </w:p>
    <w:p>
      <w:pPr>
        <w:spacing w:after="0" w:line="55" w:lineRule="exact"/>
        <w:rPr>
          <w:rFonts w:ascii="Arial" w:cs="Arial" w:eastAsia="Arial" w:hAnsi="Arial"/>
          <w:sz w:val="16"/>
          <w:szCs w:val="16"/>
          <w:b w:val="1"/>
          <w:bCs w:val="1"/>
          <w:color w:val="auto"/>
        </w:rPr>
      </w:pPr>
    </w:p>
    <w:p>
      <w:pPr>
        <w:ind w:left="319" w:right="380" w:hanging="319"/>
        <w:spacing w:after="0" w:line="215" w:lineRule="auto"/>
        <w:tabs>
          <w:tab w:leader="none" w:pos="316"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JPMorgan Chase &amp; Co. Is Currently One of the Companies that Make Up the Dow Jones Industrial Average</w:t>
      </w:r>
      <w:r>
        <w:rPr>
          <w:rFonts w:ascii="Georgia" w:cs="Georgia" w:eastAsia="Georgia" w:hAnsi="Georgia"/>
          <w:sz w:val="26"/>
          <w:szCs w:val="26"/>
          <w:b w:val="1"/>
          <w:bCs w:val="1"/>
          <w:color w:val="auto"/>
          <w:vertAlign w:val="superscript"/>
        </w:rPr>
        <w:t>®</w:t>
      </w:r>
      <w:r>
        <w:rPr>
          <w:rFonts w:ascii="Georgia" w:cs="Georgia" w:eastAsia="Georgia" w:hAnsi="Georgia"/>
          <w:sz w:val="16"/>
          <w:szCs w:val="16"/>
          <w:b w:val="1"/>
          <w:bCs w:val="1"/>
          <w:color w:val="auto"/>
        </w:rPr>
        <w:t>.</w:t>
      </w:r>
    </w:p>
    <w:p>
      <w:pPr>
        <w:spacing w:after="0" w:line="1" w:lineRule="exact"/>
        <w:rPr>
          <w:rFonts w:ascii="Arial" w:cs="Arial" w:eastAsia="Arial" w:hAnsi="Arial"/>
          <w:sz w:val="16"/>
          <w:szCs w:val="16"/>
          <w:b w:val="1"/>
          <w:bCs w:val="1"/>
          <w:color w:val="auto"/>
        </w:rPr>
      </w:pPr>
    </w:p>
    <w:p>
      <w:pPr>
        <w:ind w:left="319" w:right="240" w:hanging="319"/>
        <w:spacing w:after="0" w:line="239" w:lineRule="auto"/>
        <w:tabs>
          <w:tab w:leader="none" w:pos="316"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An Investment in the Securities Is Subject to Risks Associated with Small Capitalization Stocks with Respect to the Russell 2000</w:t>
      </w:r>
      <w:r>
        <w:rPr>
          <w:rFonts w:ascii="Georgia" w:cs="Georgia" w:eastAsia="Georgia" w:hAnsi="Georgia"/>
          <w:sz w:val="26"/>
          <w:szCs w:val="26"/>
          <w:b w:val="1"/>
          <w:bCs w:val="1"/>
          <w:color w:val="auto"/>
          <w:vertAlign w:val="superscript"/>
        </w:rPr>
        <w:t>®</w:t>
      </w:r>
      <w:r>
        <w:rPr>
          <w:rFonts w:ascii="Georgia" w:cs="Georgia" w:eastAsia="Georgia" w:hAnsi="Georgia"/>
          <w:sz w:val="16"/>
          <w:szCs w:val="16"/>
          <w:b w:val="1"/>
          <w:bCs w:val="1"/>
          <w:color w:val="auto"/>
        </w:rPr>
        <w:t xml:space="preserve"> Index.</w:t>
      </w:r>
    </w:p>
    <w:p>
      <w:pPr>
        <w:spacing w:after="0" w:line="1" w:lineRule="exact"/>
        <w:rPr>
          <w:rFonts w:ascii="Arial" w:cs="Arial" w:eastAsia="Arial" w:hAnsi="Arial"/>
          <w:sz w:val="16"/>
          <w:szCs w:val="16"/>
          <w:b w:val="1"/>
          <w:bCs w:val="1"/>
          <w:color w:val="auto"/>
        </w:rPr>
      </w:pPr>
    </w:p>
    <w:p>
      <w:pPr>
        <w:ind w:left="319" w:right="280" w:hanging="319"/>
        <w:spacing w:after="0" w:line="229" w:lineRule="auto"/>
        <w:tabs>
          <w:tab w:leader="none" w:pos="316"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Securities Are Subject to Non-U.S. Securities Risk with Respect to the Nasdaq-100 Index</w:t>
      </w:r>
      <w:r>
        <w:rPr>
          <w:rFonts w:ascii="Georgia" w:cs="Georgia" w:eastAsia="Georgia" w:hAnsi="Georgia"/>
          <w:sz w:val="26"/>
          <w:szCs w:val="26"/>
          <w:b w:val="1"/>
          <w:bCs w:val="1"/>
          <w:color w:val="auto"/>
          <w:vertAlign w:val="superscript"/>
        </w:rPr>
        <w:t>®</w:t>
      </w:r>
      <w:r>
        <w:rPr>
          <w:rFonts w:ascii="Georgia" w:cs="Georgia" w:eastAsia="Georgia" w:hAnsi="Georgia"/>
          <w:sz w:val="16"/>
          <w:szCs w:val="16"/>
          <w:b w:val="1"/>
          <w:bCs w:val="1"/>
          <w:color w:val="auto"/>
        </w:rPr>
        <w:t>.</w:t>
      </w:r>
    </w:p>
    <w:p>
      <w:pPr>
        <w:ind w:left="319" w:right="140" w:hanging="319"/>
        <w:spacing w:after="0" w:line="248" w:lineRule="auto"/>
        <w:tabs>
          <w:tab w:leader="none" w:pos="316"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Any Payment on the Securities Will Depend upon the Performance of Each Index and Therefore the Securities Are Subject to the Risks Associated with Each Index, Each as Discussed in the Accompanying Preliminary Pricing Supplement and Product Supplement.</w:t>
      </w:r>
    </w:p>
    <w:p>
      <w:pPr>
        <w:spacing w:after="0" w:line="4831" w:lineRule="exact"/>
        <w:rPr>
          <w:sz w:val="20"/>
          <w:szCs w:val="20"/>
          <w:color w:val="auto"/>
        </w:rPr>
      </w:pPr>
    </w:p>
    <w:p>
      <w:pPr>
        <w:sectPr>
          <w:pgSz w:w="11900" w:h="16838" w:orient="portrait"/>
          <w:cols w:equalWidth="0" w:num="2">
            <w:col w:w="5520" w:space="201"/>
            <w:col w:w="5499"/>
          </w:cols>
          <w:pgMar w:left="320" w:top="543" w:right="359" w:bottom="1440" w:gutter="0" w:footer="0" w:header="0"/>
          <w:type w:val="continuous"/>
        </w:sectPr>
      </w:pPr>
    </w:p>
    <w:p>
      <w:pPr>
        <w:spacing w:after="0" w:line="139"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spacing w:after="0" w:line="213" w:lineRule="exact"/>
        <w:rPr>
          <w:sz w:val="20"/>
          <w:szCs w:val="20"/>
          <w:color w:val="auto"/>
        </w:rPr>
      </w:pPr>
    </w:p>
    <w:p>
      <w:pPr>
        <w:jc w:val="center"/>
        <w:ind w:right="20"/>
        <w:spacing w:after="0"/>
        <w:rPr>
          <w:sz w:val="20"/>
          <w:szCs w:val="20"/>
          <w:color w:val="auto"/>
        </w:rPr>
      </w:pPr>
      <w:r>
        <w:rPr>
          <w:rFonts w:ascii="Georgia" w:cs="Georgia" w:eastAsia="Georgia" w:hAnsi="Georgia"/>
          <w:sz w:val="18"/>
          <w:szCs w:val="18"/>
          <w:color w:val="auto"/>
        </w:rPr>
        <w:t>2</w:t>
      </w:r>
    </w:p>
    <w:sectPr>
      <w:pgSz w:w="11900" w:h="16838" w:orient="portrait"/>
      <w:cols w:equalWidth="0" w:num="1">
        <w:col w:w="11220"/>
      </w:cols>
      <w:pgMar w:left="320" w:top="54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www.sec.gov/Archives/edgar/data/19617/000121390026069666/ea0295141-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2026-06-18T08:43:31Z</dcterms:created>
  <dcterms:modified xsi:type="dcterms:W3CDTF">2026-06-18T08:43:31Z</dcterms:modified>
</cp:coreProperties>
</file>