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5128-01_fwp.htm"/>
      <w:bookmarkStart w:id="1" w:name="ksea030512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10,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 xml:space="preserve">2-Year ICLN Dual Directional Buffered PLUS </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Dual Directional Buffered PLUS, which we refer to as the Buffered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80" w:after="80"/>
        <w:ind w:left="80" w:right="8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41832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4183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684"/>
                              <w:gridCol w:w="8521"/>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684"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521"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521" w:type="dxa"/>
                                  <w:tcBorders/>
                                  <w:shd w:fill="DCEBF4" w:val="clear"/>
                                  <w:vAlign w:val="center"/>
                                </w:tcPr>
                                <w:p>
                                  <w:pPr>
                                    <w:pStyle w:val="TableContents"/>
                                    <w:bidi w:val="0"/>
                                    <w:spacing w:before="0" w:after="283"/>
                                    <w:jc w:val="left"/>
                                    <w:rPr>
                                      <w:sz w:val="16"/>
                                    </w:rPr>
                                  </w:pPr>
                                  <w:r>
                                    <w:rPr>
                                      <w:sz w:val="16"/>
                                    </w:rPr>
                                    <w:t>JPMorgan Chase &amp; Co.</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521"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Global Clean Energy ETF (Bloomberg ticker: ICLN UQ Equity)</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8521" w:type="dxa"/>
                                  <w:tcBorders/>
                                  <w:shd w:fill="DCEBF4" w:val="clear"/>
                                  <w:vAlign w:val="center"/>
                                </w:tcPr>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share price, for each $1,000 stated principal amount Buffered PLUS,</w:t>
                                  </w:r>
                                </w:p>
                                <w:p>
                                  <w:pPr>
                                    <w:pStyle w:val="TableContents"/>
                                    <w:bidi w:val="0"/>
                                    <w:spacing w:before="20" w:after="20"/>
                                    <w:ind w:left="346"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upside payment at maturity.</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equal to</w:t>
                                  </w:r>
                                  <w:r>
                                    <w:rPr>
                                      <w:rFonts w:ascii="Arial;Helvetica;Sans-Serif" w:hAnsi="Arial;Helvetica;Sans-Serif"/>
                                      <w:b w:val="false"/>
                                      <w:i w:val="false"/>
                                      <w:caps w:val="false"/>
                                      <w:smallCaps w:val="false"/>
                                      <w:sz w:val="16"/>
                                    </w:rPr>
                                    <w:t xml:space="preserve"> the initial share price or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share price but has decreased from the initial share price by an amount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20" w:right="2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share return)</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Buffered PLUS for each 1% negative return on the ETF Shares. In no event will this amount exceed the stated principal amount plus $100.00. Accordingly, the maximum downside payment at maturity is $1,100.00 per Buffered PLUS.</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share price and has decreased from the initial share price by an amount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 $100.00</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Buffered PLUS. However, subject to the credit risks of JPMorgan Financial and JPMorgan Chase &amp; Co., under no circumstances will the Buffered PLUS pay less than $100.00 per Buffered PLUS at maturity.</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Leveraged upside payment:</w:t>
                                  </w:r>
                                </w:p>
                              </w:tc>
                              <w:tc>
                                <w:tcPr>
                                  <w:tcW w:w="8521" w:type="dxa"/>
                                  <w:tcBorders/>
                                  <w:vAlign w:val="center"/>
                                </w:tcPr>
                                <w:p>
                                  <w:pPr>
                                    <w:pStyle w:val="TableContents"/>
                                    <w:bidi w:val="0"/>
                                    <w:spacing w:before="0" w:after="283"/>
                                    <w:jc w:val="left"/>
                                    <w:rPr>
                                      <w:sz w:val="16"/>
                                    </w:rPr>
                                  </w:pPr>
                                  <w:r>
                                    <w:rPr>
                                      <w:sz w:val="16"/>
                                    </w:rPr>
                                    <w:t>$1,000 × leverage factor × share percent change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Share percent change:</w:t>
                                  </w:r>
                                </w:p>
                              </w:tc>
                              <w:tc>
                                <w:tcPr>
                                  <w:tcW w:w="8521" w:type="dxa"/>
                                  <w:tcBorders/>
                                  <w:shd w:fill="DCEBF4" w:val="clear"/>
                                  <w:vAlign w:val="center"/>
                                </w:tcPr>
                                <w:p>
                                  <w:pPr>
                                    <w:pStyle w:val="TableContents"/>
                                    <w:bidi w:val="0"/>
                                    <w:spacing w:before="0" w:after="283"/>
                                    <w:jc w:val="left"/>
                                    <w:rPr>
                                      <w:sz w:val="16"/>
                                    </w:rPr>
                                  </w:pPr>
                                  <w:r>
                                    <w:rPr>
                                      <w:sz w:val="16"/>
                                    </w:rPr>
                                    <w:t>(final share price – initial share price) / initial share price</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share price:</w:t>
                                  </w:r>
                                </w:p>
                              </w:tc>
                              <w:tc>
                                <w:tcPr>
                                  <w:tcW w:w="8521" w:type="dxa"/>
                                  <w:tcBorders/>
                                  <w:vAlign w:val="center"/>
                                </w:tcPr>
                                <w:p>
                                  <w:pPr>
                                    <w:pStyle w:val="TableContents"/>
                                    <w:bidi w:val="0"/>
                                    <w:spacing w:before="0" w:after="283"/>
                                    <w:jc w:val="left"/>
                                    <w:rPr>
                                      <w:sz w:val="16"/>
                                    </w:rPr>
                                  </w:pPr>
                                  <w:r>
                                    <w:rPr>
                                      <w:sz w:val="16"/>
                                    </w:rPr>
                                    <w:t>The closing price of one ETF Share on the pricing date</w:t>
                                  </w:r>
                                </w:p>
                              </w:tc>
                            </w:tr>
                            <w:tr>
                              <w:trPr/>
                              <w:tc>
                                <w:tcPr>
                                  <w:tcW w:w="1684"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share price:</w:t>
                                  </w:r>
                                </w:p>
                              </w:tc>
                              <w:tc>
                                <w:tcPr>
                                  <w:tcW w:w="8521" w:type="dxa"/>
                                  <w:tcBorders/>
                                  <w:shd w:fill="DEEAF6" w:val="clear"/>
                                  <w:vAlign w:val="center"/>
                                </w:tcPr>
                                <w:p>
                                  <w:pPr>
                                    <w:pStyle w:val="TableContents"/>
                                    <w:bidi w:val="0"/>
                                    <w:spacing w:before="0" w:after="283"/>
                                    <w:jc w:val="left"/>
                                    <w:rPr>
                                      <w:sz w:val="16"/>
                                    </w:rPr>
                                  </w:pPr>
                                  <w:r>
                                    <w:rPr>
                                      <w:sz w:val="16"/>
                                    </w:rPr>
                                    <w:t>The closing price of one ETF Share on the valuation date</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Share adjustment factor: </w:t>
                                  </w:r>
                                </w:p>
                              </w:tc>
                              <w:tc>
                                <w:tcPr>
                                  <w:tcW w:w="8521" w:type="dxa"/>
                                  <w:tcBorders/>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Leverage factor: </w:t>
                                  </w:r>
                                </w:p>
                              </w:tc>
                              <w:tc>
                                <w:tcPr>
                                  <w:tcW w:w="8521" w:type="dxa"/>
                                  <w:tcBorders/>
                                  <w:shd w:fill="DCEBF4" w:val="clear"/>
                                  <w:vAlign w:val="center"/>
                                </w:tcPr>
                                <w:p>
                                  <w:pPr>
                                    <w:pStyle w:val="TableContents"/>
                                    <w:bidi w:val="0"/>
                                    <w:spacing w:before="0" w:after="283"/>
                                    <w:jc w:val="left"/>
                                    <w:rPr>
                                      <w:sz w:val="16"/>
                                    </w:rPr>
                                  </w:pPr>
                                  <w:r>
                                    <w:rPr>
                                      <w:sz w:val="16"/>
                                    </w:rPr>
                                    <w:t>150%</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521"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Buffer amount: </w:t>
                                  </w:r>
                                </w:p>
                              </w:tc>
                              <w:tc>
                                <w:tcPr>
                                  <w:tcW w:w="8521" w:type="dxa"/>
                                  <w:tcBorders/>
                                  <w:shd w:fill="DCEBF4" w:val="clear"/>
                                  <w:vAlign w:val="center"/>
                                </w:tcPr>
                                <w:p>
                                  <w:pPr>
                                    <w:pStyle w:val="TableContents"/>
                                    <w:bidi w:val="0"/>
                                    <w:spacing w:before="0" w:after="283"/>
                                    <w:jc w:val="left"/>
                                    <w:rPr>
                                      <w:sz w:val="16"/>
                                    </w:rPr>
                                  </w:pPr>
                                  <w:r>
                                    <w:rPr>
                                      <w:sz w:val="16"/>
                                    </w:rPr>
                                    <w:t>10.00%</w:t>
                                  </w:r>
                                </w:p>
                              </w:tc>
                            </w:tr>
                            <w:tr>
                              <w:trPr/>
                              <w:tc>
                                <w:tcPr>
                                  <w:tcW w:w="1684" w:type="dxa"/>
                                  <w:tcBorders/>
                                  <w:vAlign w:val="center"/>
                                </w:tcPr>
                                <w:p>
                                  <w:pPr>
                                    <w:pStyle w:val="TableContents"/>
                                    <w:bidi w:val="0"/>
                                    <w:spacing w:before="0" w:after="283"/>
                                    <w:jc w:val="left"/>
                                    <w:rPr>
                                      <w:rFonts w:ascii="Arial Bold" w:hAnsi="Arial Bold"/>
                                      <w:b w:val="false"/>
                                      <w:i w:val="false"/>
                                      <w:caps w:val="false"/>
                                      <w:smallCaps w:val="false"/>
                                      <w:color w:val="296DC1"/>
                                      <w:sz w:val="17"/>
                                    </w:rPr>
                                  </w:pPr>
                                  <w:r>
                                    <w:rPr>
                                      <w:rFonts w:ascii="Arial;Helvetica;Sans-Serif" w:hAnsi="Arial;Helvetica;Sans-Serif"/>
                                      <w:b/>
                                      <w:i w:val="false"/>
                                      <w:caps w:val="false"/>
                                      <w:smallCaps w:val="false"/>
                                      <w:color w:val="296DC1"/>
                                      <w:sz w:val="16"/>
                                    </w:rPr>
                                    <w:t>S</w:t>
                                  </w:r>
                                  <w:r>
                                    <w:rPr>
                                      <w:rFonts w:ascii="Arial;Helvetica;Sans-Serif" w:hAnsi="Arial;Helvetica;Sans-Serif"/>
                                      <w:b/>
                                      <w:i w:val="false"/>
                                      <w:caps w:val="false"/>
                                      <w:smallCaps w:val="false"/>
                                      <w:color w:val="296DC1"/>
                                      <w:sz w:val="17"/>
                                    </w:rPr>
                                    <w:t xml:space="preserve">hare </w:t>
                                  </w:r>
                                  <w:r>
                                    <w:rPr>
                                      <w:rFonts w:ascii="Arial;Helvetica;Sans-Serif" w:hAnsi="Arial;Helvetica;Sans-Serif"/>
                                      <w:b/>
                                      <w:i w:val="false"/>
                                      <w:caps w:val="false"/>
                                      <w:smallCaps w:val="false"/>
                                      <w:color w:val="296DC1"/>
                                      <w:sz w:val="16"/>
                                    </w:rPr>
                                    <w:t>performance factor:</w:t>
                                  </w:r>
                                </w:p>
                              </w:tc>
                              <w:tc>
                                <w:tcPr>
                                  <w:tcW w:w="8521" w:type="dxa"/>
                                  <w:tcBorders/>
                                  <w:vAlign w:val="center"/>
                                </w:tcPr>
                                <w:p>
                                  <w:pPr>
                                    <w:pStyle w:val="TableContents"/>
                                    <w:bidi w:val="0"/>
                                    <w:spacing w:before="0" w:after="283"/>
                                    <w:jc w:val="left"/>
                                    <w:rPr>
                                      <w:sz w:val="16"/>
                                    </w:rPr>
                                  </w:pPr>
                                  <w:r>
                                    <w:rPr>
                                      <w:sz w:val="16"/>
                                    </w:rPr>
                                    <w:t>final share price / initial share price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Maximum upside payment at maturity:</w:t>
                                  </w:r>
                                </w:p>
                              </w:tc>
                              <w:tc>
                                <w:tcPr>
                                  <w:tcW w:w="8521" w:type="dxa"/>
                                  <w:tcBorders/>
                                  <w:shd w:fill="DCEBF4" w:val="clear"/>
                                  <w:vAlign w:val="center"/>
                                </w:tcPr>
                                <w:p>
                                  <w:pPr>
                                    <w:pStyle w:val="TableContents"/>
                                    <w:bidi w:val="0"/>
                                    <w:spacing w:before="0" w:after="283"/>
                                    <w:jc w:val="left"/>
                                    <w:rPr>
                                      <w:sz w:val="16"/>
                                    </w:rPr>
                                  </w:pPr>
                                  <w:r>
                                    <w:rPr>
                                      <w:sz w:val="16"/>
                                    </w:rPr>
                                    <w:t>At least $1,377.50 (at least 137.75% of the stated principal amount) per Buffered PLUS</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Minimum payment at maturity:</w:t>
                                  </w:r>
                                </w:p>
                              </w:tc>
                              <w:tc>
                                <w:tcPr>
                                  <w:tcW w:w="8521" w:type="dxa"/>
                                  <w:tcBorders/>
                                  <w:vAlign w:val="center"/>
                                </w:tcPr>
                                <w:p>
                                  <w:pPr>
                                    <w:pStyle w:val="TableContents"/>
                                    <w:bidi w:val="0"/>
                                    <w:spacing w:before="0" w:after="283"/>
                                    <w:jc w:val="left"/>
                                    <w:rPr>
                                      <w:sz w:val="16"/>
                                    </w:rPr>
                                  </w:pPr>
                                  <w:r>
                                    <w:rPr>
                                      <w:sz w:val="16"/>
                                    </w:rPr>
                                    <w:t>$100.00 per Buffered PLUS (10.00% of the stated principal amount)</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521" w:type="dxa"/>
                                  <w:tcBorders/>
                                  <w:shd w:fill="DCEBF4" w:val="clear"/>
                                  <w:vAlign w:val="center"/>
                                </w:tcPr>
                                <w:p>
                                  <w:pPr>
                                    <w:pStyle w:val="TableContents"/>
                                    <w:bidi w:val="0"/>
                                    <w:spacing w:before="0" w:after="283"/>
                                    <w:jc w:val="left"/>
                                    <w:rPr>
                                      <w:sz w:val="16"/>
                                    </w:rPr>
                                  </w:pPr>
                                  <w:r>
                                    <w:rPr>
                                      <w:sz w:val="16"/>
                                    </w:rPr>
                                    <w:t>$1,000 per Buffered PLUS</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521" w:type="dxa"/>
                                  <w:tcBorders/>
                                  <w:vAlign w:val="center"/>
                                </w:tcPr>
                                <w:p>
                                  <w:pPr>
                                    <w:pStyle w:val="TableContents"/>
                                    <w:bidi w:val="0"/>
                                    <w:spacing w:before="0" w:after="283"/>
                                    <w:jc w:val="left"/>
                                    <w:rPr>
                                      <w:sz w:val="16"/>
                                    </w:rPr>
                                  </w:pPr>
                                  <w:r>
                                    <w:rPr>
                                      <w:sz w:val="16"/>
                                    </w:rPr>
                                    <w:t>$1,000 per Buffered PLUS</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521" w:type="dxa"/>
                                  <w:tcBorders/>
                                  <w:shd w:fill="DCEBF4" w:val="clear"/>
                                  <w:vAlign w:val="center"/>
                                </w:tcPr>
                                <w:p>
                                  <w:pPr>
                                    <w:pStyle w:val="TableContents"/>
                                    <w:bidi w:val="0"/>
                                    <w:spacing w:before="0" w:after="283"/>
                                    <w:jc w:val="left"/>
                                    <w:rPr>
                                      <w:sz w:val="16"/>
                                    </w:rPr>
                                  </w:pPr>
                                  <w:r>
                                    <w:rPr>
                                      <w:sz w:val="16"/>
                                    </w:rPr>
                                    <w:t>Expected to be September 18, 2026</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521" w:type="dxa"/>
                                  <w:tcBorders/>
                                  <w:vAlign w:val="center"/>
                                </w:tcPr>
                                <w:p>
                                  <w:pPr>
                                    <w:pStyle w:val="TableContents"/>
                                    <w:bidi w:val="0"/>
                                    <w:spacing w:before="0" w:after="283"/>
                                    <w:jc w:val="left"/>
                                    <w:rPr>
                                      <w:sz w:val="16"/>
                                    </w:rPr>
                                  </w:pPr>
                                  <w:r>
                                    <w:rPr>
                                      <w:sz w:val="16"/>
                                    </w:rPr>
                                    <w:t>3 business days after the pricing date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521" w:type="dxa"/>
                                  <w:tcBorders/>
                                  <w:shd w:fill="DCEBF4" w:val="clear"/>
                                  <w:vAlign w:val="center"/>
                                </w:tcPr>
                                <w:p>
                                  <w:pPr>
                                    <w:pStyle w:val="TableContents"/>
                                    <w:bidi w:val="0"/>
                                    <w:spacing w:before="0" w:after="283"/>
                                    <w:jc w:val="left"/>
                                    <w:rPr>
                                      <w:sz w:val="16"/>
                                    </w:rPr>
                                  </w:pPr>
                                  <w:r>
                                    <w:rPr>
                                      <w:sz w:val="16"/>
                                    </w:rPr>
                                    <w:t>September 18,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1.6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684"/>
                        <w:gridCol w:w="8521"/>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684"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521"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521" w:type="dxa"/>
                            <w:tcBorders/>
                            <w:shd w:fill="DCEBF4" w:val="clear"/>
                            <w:vAlign w:val="center"/>
                          </w:tcPr>
                          <w:p>
                            <w:pPr>
                              <w:pStyle w:val="TableContents"/>
                              <w:bidi w:val="0"/>
                              <w:spacing w:before="0" w:after="283"/>
                              <w:jc w:val="left"/>
                              <w:rPr>
                                <w:sz w:val="16"/>
                              </w:rPr>
                            </w:pPr>
                            <w:r>
                              <w:rPr>
                                <w:sz w:val="16"/>
                              </w:rPr>
                              <w:t>JPMorgan Chase &amp; Co.</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521"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Global Clean Energy ETF (Bloomberg ticker: ICLN UQ Equity)</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8521" w:type="dxa"/>
                            <w:tcBorders/>
                            <w:shd w:fill="DCEBF4" w:val="clear"/>
                            <w:vAlign w:val="center"/>
                          </w:tcPr>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share price, for each $1,000 stated principal amount Buffered PLUS,</w:t>
                            </w:r>
                          </w:p>
                          <w:p>
                            <w:pPr>
                              <w:pStyle w:val="TableContents"/>
                              <w:bidi w:val="0"/>
                              <w:spacing w:before="20" w:after="20"/>
                              <w:ind w:left="346"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upside payment at maturity.</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equal to</w:t>
                            </w:r>
                            <w:r>
                              <w:rPr>
                                <w:rFonts w:ascii="Arial;Helvetica;Sans-Serif" w:hAnsi="Arial;Helvetica;Sans-Serif"/>
                                <w:b w:val="false"/>
                                <w:i w:val="false"/>
                                <w:caps w:val="false"/>
                                <w:smallCaps w:val="false"/>
                                <w:sz w:val="16"/>
                              </w:rPr>
                              <w:t xml:space="preserve"> the initial share price or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share price but has decreased from the initial share price by an amount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20" w:right="2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share return)</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Buffered PLUS for each 1% negative return on the ETF Shares. In no event will this amount exceed the stated principal amount plus $100.00. Accordingly, the maximum downside payment at maturity is $1,100.00 per Buffered PLUS.</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share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share price and has decreased from the initial share price by an amount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 $100.00</w:t>
                            </w:r>
                          </w:p>
                          <w:p>
                            <w:pPr>
                              <w:pStyle w:val="TableContents"/>
                              <w:bidi w:val="0"/>
                              <w:spacing w:before="20" w:after="20"/>
                              <w:ind w:left="20" w:right="2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Buffered PLUS. However, subject to the credit risks of JPMorgan Financial and JPMorgan Chase &amp; Co., under no circumstances will the Buffered PLUS pay less than $100.00 per Buffered PLUS at maturity.</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Leveraged upside payment:</w:t>
                            </w:r>
                          </w:p>
                        </w:tc>
                        <w:tc>
                          <w:tcPr>
                            <w:tcW w:w="8521" w:type="dxa"/>
                            <w:tcBorders/>
                            <w:vAlign w:val="center"/>
                          </w:tcPr>
                          <w:p>
                            <w:pPr>
                              <w:pStyle w:val="TableContents"/>
                              <w:bidi w:val="0"/>
                              <w:spacing w:before="0" w:after="283"/>
                              <w:jc w:val="left"/>
                              <w:rPr>
                                <w:sz w:val="16"/>
                              </w:rPr>
                            </w:pPr>
                            <w:r>
                              <w:rPr>
                                <w:sz w:val="16"/>
                              </w:rPr>
                              <w:t>$1,000 × leverage factor × share percent change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Share percent change:</w:t>
                            </w:r>
                          </w:p>
                        </w:tc>
                        <w:tc>
                          <w:tcPr>
                            <w:tcW w:w="8521" w:type="dxa"/>
                            <w:tcBorders/>
                            <w:shd w:fill="DCEBF4" w:val="clear"/>
                            <w:vAlign w:val="center"/>
                          </w:tcPr>
                          <w:p>
                            <w:pPr>
                              <w:pStyle w:val="TableContents"/>
                              <w:bidi w:val="0"/>
                              <w:spacing w:before="0" w:after="283"/>
                              <w:jc w:val="left"/>
                              <w:rPr>
                                <w:sz w:val="16"/>
                              </w:rPr>
                            </w:pPr>
                            <w:r>
                              <w:rPr>
                                <w:sz w:val="16"/>
                              </w:rPr>
                              <w:t>(final share price – initial share price) / initial share price</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share price:</w:t>
                            </w:r>
                          </w:p>
                        </w:tc>
                        <w:tc>
                          <w:tcPr>
                            <w:tcW w:w="8521" w:type="dxa"/>
                            <w:tcBorders/>
                            <w:vAlign w:val="center"/>
                          </w:tcPr>
                          <w:p>
                            <w:pPr>
                              <w:pStyle w:val="TableContents"/>
                              <w:bidi w:val="0"/>
                              <w:spacing w:before="0" w:after="283"/>
                              <w:jc w:val="left"/>
                              <w:rPr>
                                <w:sz w:val="16"/>
                              </w:rPr>
                            </w:pPr>
                            <w:r>
                              <w:rPr>
                                <w:sz w:val="16"/>
                              </w:rPr>
                              <w:t>The closing price of one ETF Share on the pricing date</w:t>
                            </w:r>
                          </w:p>
                        </w:tc>
                      </w:tr>
                      <w:tr>
                        <w:trPr/>
                        <w:tc>
                          <w:tcPr>
                            <w:tcW w:w="1684"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share price:</w:t>
                            </w:r>
                          </w:p>
                        </w:tc>
                        <w:tc>
                          <w:tcPr>
                            <w:tcW w:w="8521" w:type="dxa"/>
                            <w:tcBorders/>
                            <w:shd w:fill="DEEAF6" w:val="clear"/>
                            <w:vAlign w:val="center"/>
                          </w:tcPr>
                          <w:p>
                            <w:pPr>
                              <w:pStyle w:val="TableContents"/>
                              <w:bidi w:val="0"/>
                              <w:spacing w:before="0" w:after="283"/>
                              <w:jc w:val="left"/>
                              <w:rPr>
                                <w:sz w:val="16"/>
                              </w:rPr>
                            </w:pPr>
                            <w:r>
                              <w:rPr>
                                <w:sz w:val="16"/>
                              </w:rPr>
                              <w:t>The closing price of one ETF Share on the valuation date</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Share adjustment factor: </w:t>
                            </w:r>
                          </w:p>
                        </w:tc>
                        <w:tc>
                          <w:tcPr>
                            <w:tcW w:w="8521" w:type="dxa"/>
                            <w:tcBorders/>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Leverage factor: </w:t>
                            </w:r>
                          </w:p>
                        </w:tc>
                        <w:tc>
                          <w:tcPr>
                            <w:tcW w:w="8521" w:type="dxa"/>
                            <w:tcBorders/>
                            <w:shd w:fill="DCEBF4" w:val="clear"/>
                            <w:vAlign w:val="center"/>
                          </w:tcPr>
                          <w:p>
                            <w:pPr>
                              <w:pStyle w:val="TableContents"/>
                              <w:bidi w:val="0"/>
                              <w:spacing w:before="0" w:after="283"/>
                              <w:jc w:val="left"/>
                              <w:rPr>
                                <w:sz w:val="16"/>
                              </w:rPr>
                            </w:pPr>
                            <w:r>
                              <w:rPr>
                                <w:sz w:val="16"/>
                              </w:rPr>
                              <w:t>150%</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521"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Buffer amount: </w:t>
                            </w:r>
                          </w:p>
                        </w:tc>
                        <w:tc>
                          <w:tcPr>
                            <w:tcW w:w="8521" w:type="dxa"/>
                            <w:tcBorders/>
                            <w:shd w:fill="DCEBF4" w:val="clear"/>
                            <w:vAlign w:val="center"/>
                          </w:tcPr>
                          <w:p>
                            <w:pPr>
                              <w:pStyle w:val="TableContents"/>
                              <w:bidi w:val="0"/>
                              <w:spacing w:before="0" w:after="283"/>
                              <w:jc w:val="left"/>
                              <w:rPr>
                                <w:sz w:val="16"/>
                              </w:rPr>
                            </w:pPr>
                            <w:r>
                              <w:rPr>
                                <w:sz w:val="16"/>
                              </w:rPr>
                              <w:t>10.00%</w:t>
                            </w:r>
                          </w:p>
                        </w:tc>
                      </w:tr>
                      <w:tr>
                        <w:trPr/>
                        <w:tc>
                          <w:tcPr>
                            <w:tcW w:w="1684" w:type="dxa"/>
                            <w:tcBorders/>
                            <w:vAlign w:val="center"/>
                          </w:tcPr>
                          <w:p>
                            <w:pPr>
                              <w:pStyle w:val="TableContents"/>
                              <w:bidi w:val="0"/>
                              <w:spacing w:before="0" w:after="283"/>
                              <w:jc w:val="left"/>
                              <w:rPr>
                                <w:rFonts w:ascii="Arial Bold" w:hAnsi="Arial Bold"/>
                                <w:b w:val="false"/>
                                <w:i w:val="false"/>
                                <w:caps w:val="false"/>
                                <w:smallCaps w:val="false"/>
                                <w:color w:val="296DC1"/>
                                <w:sz w:val="17"/>
                              </w:rPr>
                            </w:pPr>
                            <w:r>
                              <w:rPr>
                                <w:rFonts w:ascii="Arial;Helvetica;Sans-Serif" w:hAnsi="Arial;Helvetica;Sans-Serif"/>
                                <w:b/>
                                <w:i w:val="false"/>
                                <w:caps w:val="false"/>
                                <w:smallCaps w:val="false"/>
                                <w:color w:val="296DC1"/>
                                <w:sz w:val="16"/>
                              </w:rPr>
                              <w:t>S</w:t>
                            </w:r>
                            <w:r>
                              <w:rPr>
                                <w:rFonts w:ascii="Arial;Helvetica;Sans-Serif" w:hAnsi="Arial;Helvetica;Sans-Serif"/>
                                <w:b/>
                                <w:i w:val="false"/>
                                <w:caps w:val="false"/>
                                <w:smallCaps w:val="false"/>
                                <w:color w:val="296DC1"/>
                                <w:sz w:val="17"/>
                              </w:rPr>
                              <w:t xml:space="preserve">hare </w:t>
                            </w:r>
                            <w:r>
                              <w:rPr>
                                <w:rFonts w:ascii="Arial;Helvetica;Sans-Serif" w:hAnsi="Arial;Helvetica;Sans-Serif"/>
                                <w:b/>
                                <w:i w:val="false"/>
                                <w:caps w:val="false"/>
                                <w:smallCaps w:val="false"/>
                                <w:color w:val="296DC1"/>
                                <w:sz w:val="16"/>
                              </w:rPr>
                              <w:t>performance factor:</w:t>
                            </w:r>
                          </w:p>
                        </w:tc>
                        <w:tc>
                          <w:tcPr>
                            <w:tcW w:w="8521" w:type="dxa"/>
                            <w:tcBorders/>
                            <w:vAlign w:val="center"/>
                          </w:tcPr>
                          <w:p>
                            <w:pPr>
                              <w:pStyle w:val="TableContents"/>
                              <w:bidi w:val="0"/>
                              <w:spacing w:before="0" w:after="283"/>
                              <w:jc w:val="left"/>
                              <w:rPr>
                                <w:sz w:val="16"/>
                              </w:rPr>
                            </w:pPr>
                            <w:r>
                              <w:rPr>
                                <w:sz w:val="16"/>
                              </w:rPr>
                              <w:t>final share price / initial share price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Maximum upside payment at maturity:</w:t>
                            </w:r>
                          </w:p>
                        </w:tc>
                        <w:tc>
                          <w:tcPr>
                            <w:tcW w:w="8521" w:type="dxa"/>
                            <w:tcBorders/>
                            <w:shd w:fill="DCEBF4" w:val="clear"/>
                            <w:vAlign w:val="center"/>
                          </w:tcPr>
                          <w:p>
                            <w:pPr>
                              <w:pStyle w:val="TableContents"/>
                              <w:bidi w:val="0"/>
                              <w:spacing w:before="0" w:after="283"/>
                              <w:jc w:val="left"/>
                              <w:rPr>
                                <w:sz w:val="16"/>
                              </w:rPr>
                            </w:pPr>
                            <w:r>
                              <w:rPr>
                                <w:sz w:val="16"/>
                              </w:rPr>
                              <w:t>At least $1,377.50 (at least 137.75% of the stated principal amount) per Buffered PLUS</w:t>
                            </w:r>
                          </w:p>
                        </w:tc>
                      </w:tr>
                      <w:tr>
                        <w:trPr/>
                        <w:tc>
                          <w:tcPr>
                            <w:tcW w:w="1684"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Minimum payment at maturity:</w:t>
                            </w:r>
                          </w:p>
                        </w:tc>
                        <w:tc>
                          <w:tcPr>
                            <w:tcW w:w="8521" w:type="dxa"/>
                            <w:tcBorders/>
                            <w:vAlign w:val="center"/>
                          </w:tcPr>
                          <w:p>
                            <w:pPr>
                              <w:pStyle w:val="TableContents"/>
                              <w:bidi w:val="0"/>
                              <w:spacing w:before="0" w:after="283"/>
                              <w:jc w:val="left"/>
                              <w:rPr>
                                <w:sz w:val="16"/>
                              </w:rPr>
                            </w:pPr>
                            <w:r>
                              <w:rPr>
                                <w:sz w:val="16"/>
                              </w:rPr>
                              <w:t>$100.00 per Buffered PLUS (10.00% of the stated principal amount)</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521" w:type="dxa"/>
                            <w:tcBorders/>
                            <w:shd w:fill="DCEBF4" w:val="clear"/>
                            <w:vAlign w:val="center"/>
                          </w:tcPr>
                          <w:p>
                            <w:pPr>
                              <w:pStyle w:val="TableContents"/>
                              <w:bidi w:val="0"/>
                              <w:spacing w:before="0" w:after="283"/>
                              <w:jc w:val="left"/>
                              <w:rPr>
                                <w:sz w:val="16"/>
                              </w:rPr>
                            </w:pPr>
                            <w:r>
                              <w:rPr>
                                <w:sz w:val="16"/>
                              </w:rPr>
                              <w:t>$1,000 per Buffered PLUS</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521" w:type="dxa"/>
                            <w:tcBorders/>
                            <w:vAlign w:val="center"/>
                          </w:tcPr>
                          <w:p>
                            <w:pPr>
                              <w:pStyle w:val="TableContents"/>
                              <w:bidi w:val="0"/>
                              <w:spacing w:before="0" w:after="283"/>
                              <w:jc w:val="left"/>
                              <w:rPr>
                                <w:sz w:val="16"/>
                              </w:rPr>
                            </w:pPr>
                            <w:r>
                              <w:rPr>
                                <w:sz w:val="16"/>
                              </w:rPr>
                              <w:t>$1,000 per Buffered PLUS</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521" w:type="dxa"/>
                            <w:tcBorders/>
                            <w:shd w:fill="DCEBF4" w:val="clear"/>
                            <w:vAlign w:val="center"/>
                          </w:tcPr>
                          <w:p>
                            <w:pPr>
                              <w:pStyle w:val="TableContents"/>
                              <w:bidi w:val="0"/>
                              <w:spacing w:before="0" w:after="283"/>
                              <w:jc w:val="left"/>
                              <w:rPr>
                                <w:sz w:val="16"/>
                              </w:rPr>
                            </w:pPr>
                            <w:r>
                              <w:rPr>
                                <w:sz w:val="16"/>
                              </w:rPr>
                              <w:t>Expected to be September 18, 2026</w:t>
                            </w:r>
                          </w:p>
                        </w:tc>
                      </w:tr>
                      <w:tr>
                        <w:trPr/>
                        <w:tc>
                          <w:tcPr>
                            <w:tcW w:w="1684"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521" w:type="dxa"/>
                            <w:tcBorders/>
                            <w:vAlign w:val="center"/>
                          </w:tcPr>
                          <w:p>
                            <w:pPr>
                              <w:pStyle w:val="TableContents"/>
                              <w:bidi w:val="0"/>
                              <w:spacing w:before="0" w:after="283"/>
                              <w:jc w:val="left"/>
                              <w:rPr>
                                <w:sz w:val="16"/>
                              </w:rPr>
                            </w:pPr>
                            <w:r>
                              <w:rPr>
                                <w:sz w:val="16"/>
                              </w:rPr>
                              <w:t>3 business days after the pricing date</w:t>
                            </w:r>
                          </w:p>
                        </w:tc>
                      </w:tr>
                      <w:tr>
                        <w:trPr/>
                        <w:tc>
                          <w:tcPr>
                            <w:tcW w:w="1684"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521" w:type="dxa"/>
                            <w:tcBorders/>
                            <w:shd w:fill="DCEBF4" w:val="clear"/>
                            <w:vAlign w:val="center"/>
                          </w:tcPr>
                          <w:p>
                            <w:pPr>
                              <w:pStyle w:val="TableContents"/>
                              <w:bidi w:val="0"/>
                              <w:spacing w:before="0" w:after="283"/>
                              <w:jc w:val="left"/>
                              <w:rPr>
                                <w:sz w:val="16"/>
                              </w:rPr>
                            </w:pPr>
                            <w:r>
                              <w:rPr>
                                <w:sz w:val="16"/>
                              </w:rPr>
                              <w:t>September 18, 2028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490" w:type="dxa"/>
                              <w:jc w:val="left"/>
                              <w:tblInd w:w="0" w:type="dxa"/>
                              <w:tblLayout w:type="fixed"/>
                              <w:tblCellMar>
                                <w:top w:w="0" w:type="dxa"/>
                                <w:left w:w="0" w:type="dxa"/>
                                <w:bottom w:w="0" w:type="dxa"/>
                                <w:right w:w="0" w:type="dxa"/>
                              </w:tblCellMar>
                            </w:tblPr>
                            <w:tblGrid>
                              <w:gridCol w:w="2420"/>
                              <w:gridCol w:w="4070"/>
                            </w:tblGrid>
                            <w:tr>
                              <w:trPr/>
                              <w:tc>
                                <w:tcPr>
                                  <w:tcW w:w="24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vAlign w:val="center"/>
                                </w:tcPr>
                                <w:p>
                                  <w:pPr>
                                    <w:pStyle w:val="TableContents"/>
                                    <w:bidi w:val="0"/>
                                    <w:spacing w:before="0" w:after="283"/>
                                    <w:jc w:val="left"/>
                                    <w:rPr>
                                      <w:sz w:val="16"/>
                                    </w:rPr>
                                  </w:pPr>
                                  <w:r>
                                    <w:rPr>
                                      <w:sz w:val="16"/>
                                    </w:rPr>
                                    <w:t>September 21, 2028</w:t>
                                  </w:r>
                                </w:p>
                              </w:tc>
                            </w:tr>
                            <w:tr>
                              <w:trPr/>
                              <w:tc>
                                <w:tcPr>
                                  <w:tcW w:w="242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4070" w:type="dxa"/>
                                  <w:tcBorders/>
                                  <w:shd w:fill="DCEBF4" w:val="clear"/>
                                  <w:vAlign w:val="center"/>
                                </w:tcPr>
                                <w:p>
                                  <w:pPr>
                                    <w:pStyle w:val="TableContents"/>
                                    <w:bidi w:val="0"/>
                                    <w:spacing w:before="0" w:after="283"/>
                                    <w:jc w:val="left"/>
                                    <w:rPr>
                                      <w:sz w:val="16"/>
                                    </w:rPr>
                                  </w:pPr>
                                  <w:r>
                                    <w:rPr>
                                      <w:sz w:val="16"/>
                                    </w:rPr>
                                    <w:t>46661MUJ1 / US46661MUJ16</w:t>
                                  </w:r>
                                </w:p>
                              </w:tc>
                            </w:tr>
                            <w:tr>
                              <w:trPr/>
                              <w:tc>
                                <w:tcPr>
                                  <w:tcW w:w="242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4070" w:type="dxa"/>
                                  <w:tcBorders/>
                                  <w:vAlign w:val="center"/>
                                </w:tcPr>
                                <w:p>
                                  <w:pPr>
                                    <w:pStyle w:val="TableContents"/>
                                    <w:bidi w:val="0"/>
                                    <w:spacing w:before="0" w:after="283"/>
                                    <w:jc w:val="left"/>
                                    <w:rPr/>
                                  </w:pPr>
                                  <w:hyperlink r:id="rId2">
                                    <w:r>
                                      <w:rPr>
                                        <w:rStyle w:val="InternetLink"/>
                                        <w:sz w:val="16"/>
                                      </w:rPr>
                                      <w:t>http://www.sec.gov/Archives/edgar/data/</w:t>
                                      <w:br/>
                                      <w:t>19617/000121390026098634/ea0305034-01_424b2.htm</w:t>
                                    </w:r>
                                  </w:hyperlink>
                                </w:p>
                              </w:tc>
                            </w:tr>
                          </w:tbl>
                          <w:p>
                            <w:pPr>
                              <w:pStyle w:val="TextBody"/>
                              <w:bidi w:val="0"/>
                              <w:spacing w:before="0" w:after="40"/>
                              <w:ind w:left="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Buffered PLUS on the pricing date will be provided in the pricing supplement and will not be less than $930.00 per $1,000 stated principal amount Buffered PLUS.</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information about the estimated value of the Buffered PLUS, which likely will be lower than the price you paid for the Buffered PLUS, please see the hyperlink above.</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Buffered PLUS is subject to the credit risk of JPMorgan Financial as issuer of the Buffered PLUS, and the credit risk of JPMorgan Chase &amp; Co., as guarantor of the Buffered PLUS.</w:t>
                            </w:r>
                          </w:p>
                          <w:p>
                            <w:pPr>
                              <w:pStyle w:val="TextBody"/>
                              <w:bidi w:val="0"/>
                              <w:spacing w:before="0" w:after="0"/>
                              <w:ind w:left="108" w:right="0" w:hanging="0"/>
                              <w:jc w:val="center"/>
                              <w:rPr>
                                <w:caps w:val="false"/>
                                <w:smallCaps w:val="false"/>
                              </w:rPr>
                            </w:pPr>
                            <w:r>
                              <w:rPr>
                                <w:caps w:val="false"/>
                                <w:smallCaps w:val="false"/>
                              </w:rPr>
                              <w:drawing>
                                <wp:inline distT="0" distB="0" distL="0" distR="0">
                                  <wp:extent cx="3333750" cy="2105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333750" cy="21050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255" w:type="dxa"/>
                              <w:jc w:val="center"/>
                              <w:tblInd w:w="0" w:type="dxa"/>
                              <w:tblLayout w:type="fixed"/>
                              <w:tblCellMar>
                                <w:top w:w="0" w:type="dxa"/>
                                <w:left w:w="0" w:type="dxa"/>
                                <w:bottom w:w="0" w:type="dxa"/>
                                <w:right w:w="0" w:type="dxa"/>
                              </w:tblCellMar>
                            </w:tblPr>
                            <w:tblGrid>
                              <w:gridCol w:w="1850"/>
                              <w:gridCol w:w="2405"/>
                            </w:tblGrid>
                            <w:tr>
                              <w:trPr/>
                              <w:tc>
                                <w:tcPr>
                                  <w:tcW w:w="1850" w:type="dxa"/>
                                  <w:tcBorders/>
                                  <w:shd w:fill="296DC1" w:val="clear"/>
                                  <w:vAlign w:val="center"/>
                                </w:tcPr>
                                <w:p>
                                  <w:pPr>
                                    <w:pStyle w:val="TableContents"/>
                                    <w:bidi w:val="0"/>
                                    <w:jc w:val="left"/>
                                    <w:rPr>
                                      <w:caps w:val="false"/>
                                      <w:smallCaps w:val="false"/>
                                    </w:rPr>
                                  </w:pPr>
                                  <w:r>
                                    <w:rPr>
                                      <w:caps w:val="false"/>
                                      <w:smallCaps w:val="false"/>
                                    </w:rPr>
                                    <w:t> </w:t>
                                  </w:r>
                                </w:p>
                                <w:p>
                                  <w:pPr>
                                    <w:pStyle w:val="TableContents"/>
                                    <w:bidi w:val="0"/>
                                    <w:spacing w:before="60" w:after="60"/>
                                    <w:ind w:left="60" w:right="6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ETF Shares</w:t>
                                  </w:r>
                                </w:p>
                              </w:tc>
                              <w:tc>
                                <w:tcPr>
                                  <w:tcW w:w="240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Buffered PLUS*</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25.16667%</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7.50%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-90.00%</w:t>
                                  </w:r>
                                </w:p>
                              </w:tc>
                            </w:tr>
                          </w:tbl>
                          <w:p>
                            <w:pPr>
                              <w:pStyle w:val="TextBody"/>
                              <w:bidi w:val="0"/>
                              <w:spacing w:before="80" w:after="80"/>
                              <w:ind w:left="80" w:right="8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hypothetical maximum upside payment at maturity of 137.75% of the stated principal amount</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490" w:type="dxa"/>
                        <w:jc w:val="left"/>
                        <w:tblInd w:w="0" w:type="dxa"/>
                        <w:tblLayout w:type="fixed"/>
                        <w:tblCellMar>
                          <w:top w:w="0" w:type="dxa"/>
                          <w:left w:w="0" w:type="dxa"/>
                          <w:bottom w:w="0" w:type="dxa"/>
                          <w:right w:w="0" w:type="dxa"/>
                        </w:tblCellMar>
                      </w:tblPr>
                      <w:tblGrid>
                        <w:gridCol w:w="2420"/>
                        <w:gridCol w:w="4070"/>
                      </w:tblGrid>
                      <w:tr>
                        <w:trPr/>
                        <w:tc>
                          <w:tcPr>
                            <w:tcW w:w="24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vAlign w:val="center"/>
                          </w:tcPr>
                          <w:p>
                            <w:pPr>
                              <w:pStyle w:val="TableContents"/>
                              <w:bidi w:val="0"/>
                              <w:spacing w:before="0" w:after="283"/>
                              <w:jc w:val="left"/>
                              <w:rPr>
                                <w:sz w:val="16"/>
                              </w:rPr>
                            </w:pPr>
                            <w:r>
                              <w:rPr>
                                <w:sz w:val="16"/>
                              </w:rPr>
                              <w:t>September 21, 2028</w:t>
                            </w:r>
                          </w:p>
                        </w:tc>
                      </w:tr>
                      <w:tr>
                        <w:trPr/>
                        <w:tc>
                          <w:tcPr>
                            <w:tcW w:w="242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4070" w:type="dxa"/>
                            <w:tcBorders/>
                            <w:shd w:fill="DCEBF4" w:val="clear"/>
                            <w:vAlign w:val="center"/>
                          </w:tcPr>
                          <w:p>
                            <w:pPr>
                              <w:pStyle w:val="TableContents"/>
                              <w:bidi w:val="0"/>
                              <w:spacing w:before="0" w:after="283"/>
                              <w:jc w:val="left"/>
                              <w:rPr>
                                <w:sz w:val="16"/>
                              </w:rPr>
                            </w:pPr>
                            <w:r>
                              <w:rPr>
                                <w:sz w:val="16"/>
                              </w:rPr>
                              <w:t>46661MUJ1 / US46661MUJ16</w:t>
                            </w:r>
                          </w:p>
                        </w:tc>
                      </w:tr>
                      <w:tr>
                        <w:trPr/>
                        <w:tc>
                          <w:tcPr>
                            <w:tcW w:w="242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4070" w:type="dxa"/>
                            <w:tcBorders/>
                            <w:vAlign w:val="center"/>
                          </w:tcPr>
                          <w:p>
                            <w:pPr>
                              <w:pStyle w:val="TableContents"/>
                              <w:bidi w:val="0"/>
                              <w:spacing w:before="0" w:after="283"/>
                              <w:jc w:val="left"/>
                              <w:rPr/>
                            </w:pPr>
                            <w:hyperlink r:id="rId4">
                              <w:r>
                                <w:rPr>
                                  <w:rStyle w:val="InternetLink"/>
                                  <w:sz w:val="16"/>
                                </w:rPr>
                                <w:t>http://www.sec.gov/Archives/edgar/data/</w:t>
                                <w:br/>
                                <w:t>19617/000121390026098634/ea0305034-01_424b2.htm</w:t>
                              </w:r>
                            </w:hyperlink>
                          </w:p>
                        </w:tc>
                      </w:tr>
                    </w:tbl>
                    <w:p>
                      <w:pPr>
                        <w:pStyle w:val="TextBody"/>
                        <w:bidi w:val="0"/>
                        <w:spacing w:before="0" w:after="40"/>
                        <w:ind w:left="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Buffered PLUS on the pricing date will be provided in the pricing supplement and will not be less than $930.00 per $1,000 stated principal amount Buffered PLUS.</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information about the estimated value of the Buffered PLUS, which likely will be lower than the price you paid for the Buffered PLUS, please see the hyperlink above.</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Buffered PLUS is subject to the credit risk of JPMorgan Financial as issuer of the Buffered PLUS, and the credit risk of JPMorgan Chase &amp; Co., as guarantor of the Buffered PLUS.</w:t>
                      </w:r>
                    </w:p>
                    <w:p>
                      <w:pPr>
                        <w:pStyle w:val="TextBody"/>
                        <w:bidi w:val="0"/>
                        <w:spacing w:before="0" w:after="0"/>
                        <w:ind w:left="108" w:right="0" w:hanging="0"/>
                        <w:jc w:val="center"/>
                        <w:rPr>
                          <w:caps w:val="false"/>
                          <w:smallCaps w:val="false"/>
                        </w:rPr>
                      </w:pPr>
                      <w:r>
                        <w:rPr>
                          <w:caps w:val="false"/>
                          <w:smallCaps w:val="false"/>
                        </w:rPr>
                        <w:drawing>
                          <wp:inline distT="0" distB="0" distL="0" distR="0">
                            <wp:extent cx="3333750" cy="2105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333750" cy="21050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255" w:type="dxa"/>
                        <w:jc w:val="center"/>
                        <w:tblInd w:w="0" w:type="dxa"/>
                        <w:tblLayout w:type="fixed"/>
                        <w:tblCellMar>
                          <w:top w:w="0" w:type="dxa"/>
                          <w:left w:w="0" w:type="dxa"/>
                          <w:bottom w:w="0" w:type="dxa"/>
                          <w:right w:w="0" w:type="dxa"/>
                        </w:tblCellMar>
                      </w:tblPr>
                      <w:tblGrid>
                        <w:gridCol w:w="1850"/>
                        <w:gridCol w:w="2405"/>
                      </w:tblGrid>
                      <w:tr>
                        <w:trPr/>
                        <w:tc>
                          <w:tcPr>
                            <w:tcW w:w="1850" w:type="dxa"/>
                            <w:tcBorders/>
                            <w:shd w:fill="296DC1" w:val="clear"/>
                            <w:vAlign w:val="center"/>
                          </w:tcPr>
                          <w:p>
                            <w:pPr>
                              <w:pStyle w:val="TableContents"/>
                              <w:bidi w:val="0"/>
                              <w:jc w:val="left"/>
                              <w:rPr>
                                <w:caps w:val="false"/>
                                <w:smallCaps w:val="false"/>
                              </w:rPr>
                            </w:pPr>
                            <w:r>
                              <w:rPr>
                                <w:caps w:val="false"/>
                                <w:smallCaps w:val="false"/>
                              </w:rPr>
                              <w:t> </w:t>
                            </w:r>
                          </w:p>
                          <w:p>
                            <w:pPr>
                              <w:pStyle w:val="TableContents"/>
                              <w:bidi w:val="0"/>
                              <w:spacing w:before="60" w:after="60"/>
                              <w:ind w:left="60" w:right="6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ETF Shares</w:t>
                            </w:r>
                          </w:p>
                        </w:tc>
                        <w:tc>
                          <w:tcPr>
                            <w:tcW w:w="240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Buffered PLUS*</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25.16667%</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37.75%</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7.50%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r>
                      <w:tr>
                        <w:trPr/>
                        <w:tc>
                          <w:tcPr>
                            <w:tcW w:w="185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-80.00000%</w:t>
                            </w:r>
                          </w:p>
                        </w:tc>
                        <w:tc>
                          <w:tcPr>
                            <w:tcW w:w="2405"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-70.00%</w:t>
                            </w:r>
                          </w:p>
                        </w:tc>
                      </w:tr>
                      <w:tr>
                        <w:trPr/>
                        <w:tc>
                          <w:tcPr>
                            <w:tcW w:w="185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-100.00000%</w:t>
                            </w:r>
                          </w:p>
                        </w:tc>
                        <w:tc>
                          <w:tcPr>
                            <w:tcW w:w="2405"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-90.00%</w:t>
                            </w:r>
                          </w:p>
                        </w:tc>
                      </w:tr>
                    </w:tbl>
                    <w:p>
                      <w:pPr>
                        <w:pStyle w:val="TextBody"/>
                        <w:bidi w:val="0"/>
                        <w:spacing w:before="80" w:after="80"/>
                        <w:ind w:left="80" w:right="8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hypothetical maximum upside payment at maturity of 137.75% of the stated principal amount</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ETF Shares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ETF Shares,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Buffered PLUS Generally</w:t>
      </w:r>
    </w:p>
    <w:tbl>
      <w:tblPr>
        <w:tblW w:w="5000" w:type="pct"/>
        <w:jc w:val="left"/>
        <w:tblInd w:w="0" w:type="dxa"/>
        <w:tblLayout w:type="fixed"/>
        <w:tblCellMar>
          <w:top w:w="0" w:type="dxa"/>
          <w:left w:w="0" w:type="dxa"/>
          <w:bottom w:w="0" w:type="dxa"/>
          <w:right w:w="0" w:type="dxa"/>
        </w:tblCellMar>
      </w:tblPr>
      <w:tblGrid>
        <w:gridCol w:w="54"/>
        <w:gridCol w:w="177"/>
        <w:gridCol w:w="9974"/>
      </w:tblGrid>
      <w:tr>
        <w:trPr/>
        <w:tc>
          <w:tcPr>
            <w:tcW w:w="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 xml:space="preserve">Buffered PLUS do not pay interest and you could lose up to 90.00% of your principal at maturity. </w:t>
            </w:r>
          </w:p>
        </w:tc>
      </w:tr>
    </w:tbl>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left"/>
              <w:rPr>
                <w:sz w:val="18"/>
              </w:rPr>
            </w:pPr>
            <w:r>
              <w:rPr>
                <w:sz w:val="18"/>
              </w:rPr>
              <w:t xml:space="preserve">The appreciation potential of the Buffered PLUS if the ETF Shares have appreciated is limited by the maximum upside payment at maturity.  </w:t>
            </w:r>
          </w:p>
        </w:tc>
      </w:tr>
    </w:tbl>
    <w:tbl>
      <w:tblPr>
        <w:tblW w:w="5000" w:type="pct"/>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4" w:type="dxa"/>
            <w:tcBorders/>
            <w:vAlign w:val="center"/>
          </w:tcPr>
          <w:p>
            <w:pPr>
              <w:pStyle w:val="TableContents"/>
              <w:bidi w:val="0"/>
              <w:spacing w:before="0" w:after="283"/>
              <w:jc w:val="left"/>
              <w:rPr>
                <w:sz w:val="18"/>
              </w:rPr>
            </w:pPr>
            <w:r>
              <w:rPr>
                <w:sz w:val="18"/>
              </w:rPr>
              <w:t>Your maximum downside gain on the Buffered PLUS is limited by the buffer amount.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Buffered PLUS are subject to the credit risks of JPMorgan Financial and JPMorgan Chase &amp; Co., and any actual or anticipated changes to our or JPMorgan Chase &amp; Co.’s credit ratings or credit spreads may adversely affect the market value of the Buffered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Buffered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8" w:type="dxa"/>
            <w:tcBorders/>
            <w:vAlign w:val="center"/>
          </w:tcPr>
          <w:p>
            <w:pPr>
              <w:pStyle w:val="TableContents"/>
              <w:bidi w:val="0"/>
              <w:spacing w:before="0" w:after="283"/>
              <w:jc w:val="left"/>
              <w:rPr>
                <w:sz w:val="18"/>
              </w:rPr>
            </w:pPr>
            <w:r>
              <w:rPr>
                <w:sz w:val="18"/>
              </w:rPr>
              <w:t>The final terms and estimated valuation of the Buffered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6" w:type="dxa"/>
            <w:tcBorders/>
            <w:vAlign w:val="center"/>
          </w:tcPr>
          <w:p>
            <w:pPr>
              <w:pStyle w:val="TableContents"/>
              <w:bidi w:val="0"/>
              <w:spacing w:before="0" w:after="283"/>
              <w:jc w:val="left"/>
              <w:rPr>
                <w:sz w:val="18"/>
              </w:rPr>
            </w:pPr>
            <w:r>
              <w:rPr>
                <w:sz w:val="18"/>
              </w:rPr>
              <w:t>The tax consequences of an investment in the Buffered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Buffered PLUS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6"/>
        <w:gridCol w:w="151"/>
        <w:gridCol w:w="10008"/>
      </w:tblGrid>
      <w:tr>
        <w:trPr/>
        <w:tc>
          <w:tcPr>
            <w:tcW w:w="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8"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Buffered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Buffered PLUS</w:t>
      </w:r>
    </w:p>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855" w:type="dxa"/>
            <w:tcBorders/>
            <w:vAlign w:val="center"/>
          </w:tcPr>
          <w:p>
            <w:pPr>
              <w:pStyle w:val="TableContents"/>
              <w:bidi w:val="0"/>
              <w:spacing w:before="0" w:after="283"/>
              <w:jc w:val="both"/>
              <w:rPr/>
            </w:pPr>
            <w:r>
              <w:rPr>
                <w:sz w:val="18"/>
              </w:rPr>
              <w:t>The estimated value of the Buffered PLUS will be lower than the original issue price (price to public) of the Buffered PLUS</w:t>
            </w:r>
            <w:r>
              <w:rPr/>
              <w:t>.</w:t>
            </w:r>
          </w:p>
        </w:tc>
      </w:tr>
    </w:tbl>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7" w:type="dxa"/>
            <w:tcBorders/>
            <w:vAlign w:val="center"/>
          </w:tcPr>
          <w:p>
            <w:pPr>
              <w:pStyle w:val="TableContents"/>
              <w:bidi w:val="0"/>
              <w:spacing w:before="0" w:after="283"/>
              <w:jc w:val="left"/>
              <w:rPr>
                <w:sz w:val="18"/>
              </w:rPr>
            </w:pPr>
            <w:r>
              <w:rPr>
                <w:sz w:val="18"/>
              </w:rPr>
              <w:t>The estimated value of the Buffered PLUS does not represent future values of the Buffered PLUS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0" w:type="dxa"/>
            <w:tcBorders/>
            <w:vAlign w:val="center"/>
          </w:tcPr>
          <w:p>
            <w:pPr>
              <w:pStyle w:val="TableContents"/>
              <w:bidi w:val="0"/>
              <w:spacing w:before="0" w:after="283"/>
              <w:jc w:val="left"/>
              <w:rPr>
                <w:sz w:val="18"/>
              </w:rPr>
            </w:pPr>
            <w:r>
              <w:rPr>
                <w:sz w:val="18"/>
              </w:rPr>
              <w:t>The estimated value of the Buffered PLUS is derived by reference to an internal funding rate.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both"/>
              <w:rPr/>
            </w:pPr>
            <w:r>
              <w:rPr>
                <w:sz w:val="18"/>
              </w:rPr>
              <w:t>The value of the Buffered PLUS as published by J.P. Morgan Securities LLC (and which may be reflected on customer account statements) may be higher than the then-current estimated value of the Buffered PLUS for a limited time period</w:t>
            </w:r>
            <w:r>
              <w:rPr/>
              <w:t>.</w:t>
            </w:r>
          </w:p>
        </w:tc>
      </w:tr>
    </w:tbl>
    <w:tbl>
      <w:tblPr>
        <w:tblW w:w="8628" w:type="dxa"/>
        <w:jc w:val="left"/>
        <w:tblInd w:w="0" w:type="dxa"/>
        <w:tblLayout w:type="fixed"/>
        <w:tblCellMar>
          <w:top w:w="0" w:type="dxa"/>
          <w:left w:w="0" w:type="dxa"/>
          <w:bottom w:w="0" w:type="dxa"/>
          <w:right w:w="0" w:type="dxa"/>
        </w:tblCellMar>
      </w:tblPr>
      <w:tblGrid>
        <w:gridCol w:w="38"/>
        <w:gridCol w:w="125"/>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465" w:type="dxa"/>
            <w:tcBorders/>
            <w:vAlign w:val="center"/>
          </w:tcPr>
          <w:p>
            <w:pPr>
              <w:pStyle w:val="TableContents"/>
              <w:bidi w:val="0"/>
              <w:spacing w:before="0" w:after="283"/>
              <w:jc w:val="both"/>
              <w:rPr/>
            </w:pPr>
            <w:r>
              <w:rPr>
                <w:sz w:val="18"/>
              </w:rPr>
              <w:t>Secondary market prices of the Buffered PLUS will likely be lower than the original issue price of the Buffered PLUS</w:t>
            </w:r>
            <w:r>
              <w:rPr/>
              <w:t>.</w:t>
            </w:r>
          </w:p>
        </w:tc>
      </w:tr>
    </w:tbl>
    <w:tbl>
      <w:tblPr>
        <w:tblW w:w="7533" w:type="dxa"/>
        <w:jc w:val="left"/>
        <w:tblInd w:w="0" w:type="dxa"/>
        <w:tblLayout w:type="fixed"/>
        <w:tblCellMar>
          <w:top w:w="0" w:type="dxa"/>
          <w:left w:w="0" w:type="dxa"/>
          <w:bottom w:w="0" w:type="dxa"/>
          <w:right w:w="0" w:type="dxa"/>
        </w:tblCellMar>
      </w:tblPr>
      <w:tblGrid>
        <w:gridCol w:w="38"/>
        <w:gridCol w:w="125"/>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7370" w:type="dxa"/>
            <w:tcBorders/>
            <w:vAlign w:val="center"/>
          </w:tcPr>
          <w:p>
            <w:pPr>
              <w:pStyle w:val="TableContents"/>
              <w:bidi w:val="0"/>
              <w:spacing w:before="0" w:after="283"/>
              <w:jc w:val="both"/>
              <w:rPr>
                <w:sz w:val="18"/>
              </w:rPr>
            </w:pPr>
            <w:r>
              <w:rPr>
                <w:sz w:val="18"/>
              </w:rPr>
              <w:t>Secondary market prices of the Buffered 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ETF Shares</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Buffered PLUS is not equivalent to investing in the ETF Shares. </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2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ETF Shares or the underlying index could adversely affect the value of the Buffered PLUS.</w:t>
            </w:r>
          </w:p>
        </w:tc>
      </w:tr>
    </w:tbl>
    <w:tbl>
      <w:tblPr>
        <w:tblW w:w="5000" w:type="pct"/>
        <w:jc w:val="left"/>
        <w:tblInd w:w="0" w:type="dxa"/>
        <w:tblLayout w:type="fixed"/>
        <w:tblCellMar>
          <w:top w:w="0" w:type="dxa"/>
          <w:left w:w="0" w:type="dxa"/>
          <w:bottom w:w="0" w:type="dxa"/>
          <w:right w:w="0" w:type="dxa"/>
        </w:tblCellMar>
      </w:tblPr>
      <w:tblGrid>
        <w:gridCol w:w="95"/>
        <w:gridCol w:w="313"/>
        <w:gridCol w:w="9797"/>
      </w:tblGrid>
      <w:tr>
        <w:trPr/>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9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There are risks associated with the ETF Shares.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performance and market value of the ETF Shares, particularly during periods of market volatility, may not correlate with the performance of the underlying index as well as the net asset value per ETF Share.</w:t>
            </w:r>
          </w:p>
        </w:tc>
      </w:tr>
    </w:tbl>
    <w:tbl>
      <w:tblPr>
        <w:tblW w:w="5000" w:type="pct"/>
        <w:jc w:val="left"/>
        <w:tblInd w:w="0" w:type="dxa"/>
        <w:tblLayout w:type="fixed"/>
        <w:tblCellMar>
          <w:top w:w="0" w:type="dxa"/>
          <w:left w:w="0" w:type="dxa"/>
          <w:bottom w:w="0" w:type="dxa"/>
          <w:right w:w="0" w:type="dxa"/>
        </w:tblCellMar>
      </w:tblPr>
      <w:tblGrid>
        <w:gridCol w:w="82"/>
        <w:gridCol w:w="270"/>
        <w:gridCol w:w="9853"/>
      </w:tblGrid>
      <w:tr>
        <w:trPr/>
        <w:tc>
          <w:tcPr>
            <w:tcW w:w="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There are risks associated with the clean energy sector.</w:t>
            </w:r>
          </w:p>
        </w:tc>
      </w:tr>
    </w:tbl>
    <w:tbl>
      <w:tblPr>
        <w:tblW w:w="5000" w:type="pct"/>
        <w:jc w:val="left"/>
        <w:tblInd w:w="0" w:type="dxa"/>
        <w:tblLayout w:type="fixed"/>
        <w:tblCellMar>
          <w:top w:w="0" w:type="dxa"/>
          <w:left w:w="0" w:type="dxa"/>
          <w:bottom w:w="0" w:type="dxa"/>
          <w:right w:w="0" w:type="dxa"/>
        </w:tblCellMar>
      </w:tblPr>
      <w:tblGrid>
        <w:gridCol w:w="48"/>
        <w:gridCol w:w="158"/>
        <w:gridCol w:w="9999"/>
      </w:tblGrid>
      <w:tr>
        <w:trPr/>
        <w:tc>
          <w:tcPr>
            <w:tcW w:w="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9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Buffered PLUS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93"/>
        <w:gridCol w:w="306"/>
        <w:gridCol w:w="9806"/>
      </w:tblGrid>
      <w:tr>
        <w:trPr/>
        <w:tc>
          <w:tcPr>
            <w:tcW w:w="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0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Buffered PLUS entail emerging markets risk.</w:t>
            </w:r>
          </w:p>
        </w:tc>
      </w:tr>
    </w:tbl>
    <w:tbl>
      <w:tblPr>
        <w:tblW w:w="5000" w:type="pct"/>
        <w:jc w:val="left"/>
        <w:tblInd w:w="0" w:type="dxa"/>
        <w:tblLayout w:type="fixed"/>
        <w:tblCellMar>
          <w:top w:w="0" w:type="dxa"/>
          <w:left w:w="0" w:type="dxa"/>
          <w:bottom w:w="0" w:type="dxa"/>
          <w:right w:w="0" w:type="dxa"/>
        </w:tblCellMar>
      </w:tblPr>
      <w:tblGrid>
        <w:gridCol w:w="79"/>
        <w:gridCol w:w="260"/>
        <w:gridCol w:w="9866"/>
      </w:tblGrid>
      <w:tr>
        <w:trPr/>
        <w:tc>
          <w:tcPr>
            <w:tcW w:w="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6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Buffered PLUS are subject to currency exchange risk.</w:t>
            </w:r>
          </w:p>
        </w:tc>
      </w:tr>
    </w:tbl>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Recent executive orders may adversely affect the performance of the ETF Shares.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Buffered PLUS.</w:t>
            </w:r>
          </w:p>
        </w:tc>
      </w:tr>
    </w:tbl>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8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ETF Shares is limited.</w:t>
            </w:r>
          </w:p>
        </w:tc>
      </w:tr>
    </w:tbl>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Buffered PLUS — Tax considerations” concerning the U.S. federal income tax consequences of an investment in the Buffered PLUS,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Bold">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8634/ea0305034-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98634/ea0305034-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1573</Words>
  <Characters>8446</Characters>
  <CharactersWithSpaces>9879</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