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778-01_fwp.htm"/>
      <w:bookmarkStart w:id="1" w:name="ksea0299778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Capital stock of International Business Machines Corporation Pricing Date: July 30, 2026 Final Review Date: July 31, 2028 Maturity Date: August 3, 2028 Review Dates: Quarterly Contingent Interest Rate: At least 14.00%* per annum, payable quarterly at a rate of at least 3.50%*, if applicable Interest Barrier/ Trigger Value: An amount that represents 51.65% of the Initial Value CUSIP: 46661K2K3 Preliminary Pricing Supplement: http://sp.jpmorgan.com/document/cusip/46661K2K3/doctype/Product_Termsheet/document.pdf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8.3 5%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IBM Auto Callable Contingent Interest Notes North America Structured Investments Payment at Maturity (assuming 14.00% per annum Contingent Interest Rate) Stock Return $1,035.00 60.00% $1,035.00 40.00% $1,035.00 20.00% $1,035.00 5.00% $1,035.00 0.00% $1,035.00 - 5.00% $1,035.00 - 10.00% $1,035.00 - 20.00% $1,035.00 - 30.00% $1,035.00 - 40.00% $1,035.00 - 48.35% $516.40 - 48.36%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$35.00 (equivalent to a Contingent Interest Rate of at least 14.00% per annum, payable at a rate of at least 3.50%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IBM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1577</Words>
  <Characters>8036</Characters>
  <CharactersWithSpaces>9614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