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501650</wp:posOffset>
            </wp:positionH>
            <wp:positionV relativeFrom="paragraph">
              <wp:posOffset>-5715</wp:posOffset>
            </wp:positionV>
            <wp:extent cx="1543050" cy="402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40259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300" w:space="720"/>
            <w:col w:w="3220"/>
          </w:cols>
          <w:pgMar w:left="320" w:top="239" w:right="339" w:bottom="0" w:gutter="0" w:footer="0" w:header="0"/>
        </w:sectPr>
      </w:pPr>
    </w:p>
    <w:p>
      <w:pPr>
        <w:spacing w:after="0" w:line="68"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Securities—Auto-Callable with Contingent Coupon with Memory Feature and Contingent Downside</w:t>
      </w:r>
    </w:p>
    <w:p>
      <w:pPr>
        <w:spacing w:after="0" w:line="24" w:lineRule="exact"/>
        <w:rPr>
          <w:sz w:val="24"/>
          <w:szCs w:val="24"/>
          <w:color w:val="auto"/>
        </w:rPr>
      </w:pPr>
    </w:p>
    <w:p>
      <w:pPr>
        <w:ind w:left="100" w:right="500"/>
        <w:spacing w:after="0" w:line="244" w:lineRule="auto"/>
        <w:rPr>
          <w:sz w:val="20"/>
          <w:szCs w:val="20"/>
          <w:color w:val="auto"/>
        </w:rPr>
      </w:pPr>
      <w:r>
        <w:rPr>
          <w:rFonts w:ascii="Verdana" w:cs="Verdana" w:eastAsia="Verdana" w:hAnsi="Verdana"/>
          <w:sz w:val="18"/>
          <w:szCs w:val="18"/>
          <w:color w:val="FFFFFF"/>
        </w:rPr>
        <w:t>Principal at Risk Securities Linked to the Lowest Performing of the Common Stock of Tesla, Inc., the Class A Common Stock of Alphabet Inc. and the Common Stock of Micron Technology, Inc. due June 22, 2029</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June 5, 2026 to Preliminary Pricing Supplement dated June 5, 2026</w:t>
      </w:r>
    </w:p>
    <w:p>
      <w:pPr>
        <w:spacing w:after="0" w:line="10" w:lineRule="exact"/>
        <w:rPr>
          <w:sz w:val="24"/>
          <w:szCs w:val="24"/>
          <w:color w:val="auto"/>
        </w:rPr>
      </w:pPr>
    </w:p>
    <w:p>
      <w:pPr>
        <w:ind w:left="100"/>
        <w:spacing w:after="0"/>
        <w:tabs>
          <w:tab w:leader="none" w:pos="582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1960" w:type="dxa"/>
            <w:vAlign w:val="bottom"/>
            <w:tcBorders>
              <w:top w:val="single" w:sz="8" w:color="auto"/>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Issuer:</w:t>
            </w:r>
          </w:p>
        </w:tc>
        <w:tc>
          <w:tcPr>
            <w:tcW w:w="80" w:type="dxa"/>
            <w:vAlign w:val="bottom"/>
            <w:tcBorders>
              <w:top w:val="single" w:sz="8" w:color="auto"/>
            </w:tcBorders>
          </w:tcPr>
          <w:p>
            <w:pPr>
              <w:spacing w:after="0"/>
              <w:rPr>
                <w:sz w:val="13"/>
                <w:szCs w:val="13"/>
                <w:color w:val="auto"/>
              </w:rPr>
            </w:pPr>
          </w:p>
        </w:tc>
        <w:tc>
          <w:tcPr>
            <w:tcW w:w="3460" w:type="dxa"/>
            <w:vAlign w:val="bottom"/>
            <w:tcBorders>
              <w:top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JPMorgan Chase Financial Company LLC, a direct,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wholly owned finance subsidiary of JPMorgan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Chase &amp; Co.</w:t>
            </w:r>
          </w:p>
        </w:tc>
      </w:tr>
      <w:tr>
        <w:trPr>
          <w:trHeight w:val="155"/>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line="156" w:lineRule="exact"/>
              <w:rPr>
                <w:sz w:val="20"/>
                <w:szCs w:val="20"/>
                <w:color w:val="auto"/>
              </w:rPr>
            </w:pPr>
            <w:r>
              <w:rPr>
                <w:rFonts w:ascii="Georgia" w:cs="Georgia" w:eastAsia="Georgia" w:hAnsi="Georgia"/>
                <w:sz w:val="14"/>
                <w:szCs w:val="14"/>
                <w:color w:val="auto"/>
              </w:rPr>
              <w:t>JPMorgan Chase &amp; Co.</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Underlying Stocks:</w:t>
            </w: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The common stock of Tesla, Inc. (Bloomberg ticker: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TSLA), the Class A common stock of Alphabet Inc.</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(Bloomberg ticker: GOOGL) and the common stock</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of Micron Technology, Inc. (Bloomberg ticker: MU)</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17, 2026</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23, 2026</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22, 2029</w:t>
            </w:r>
          </w:p>
        </w:tc>
      </w:tr>
      <w:tr>
        <w:trPr>
          <w:trHeight w:val="156"/>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On each contingent coupon payment date, you will</w:t>
            </w:r>
          </w:p>
        </w:tc>
      </w:tr>
      <w:tr>
        <w:trPr>
          <w:trHeight w:val="16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Payment:</w:t>
            </w: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receive a contingent coupon payment at a per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annum rate equal to the contingent coupon rate if,</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 lowest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performing Underlying Stock on the related</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calculation day is greater than or equal to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threshold price. In addition, if the stock closing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price of the lowest performing Underlying Stock on</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one or more calculation days is less than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threshold price and, on a subsequent calculation</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day, the stock closing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Underlying Stock is greater than or equal to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threshold price, on the contingent coupon payment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date related to that subsequent calculation day, you</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will receive the contingent coupon payment due for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that subsequent calculation day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all previously</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unpaid contingent coupon payments (without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interest on amounts previously unpaid). Each</w:t>
            </w:r>
          </w:p>
        </w:tc>
      </w:tr>
      <w:tr>
        <w:trPr>
          <w:trHeight w:val="145"/>
        </w:trPr>
        <w:tc>
          <w:tcPr>
            <w:tcW w:w="19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“contingent coupon payment,” if any, will be</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r>
      <w:tr>
        <w:trPr>
          <w:trHeight w:val="158"/>
        </w:trPr>
        <w:tc>
          <w:tcPr>
            <w:tcW w:w="196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calculated per security as follows:</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7"/>
          </w:tcPr>
          <w:p>
            <w:pPr>
              <w:jc w:val="center"/>
              <w:ind w:right="160"/>
              <w:spacing w:after="0"/>
              <w:rPr>
                <w:sz w:val="20"/>
                <w:szCs w:val="20"/>
                <w:color w:val="auto"/>
              </w:rPr>
            </w:pPr>
            <w:r>
              <w:rPr>
                <w:rFonts w:ascii="Georgia" w:cs="Georgia" w:eastAsia="Georgia" w:hAnsi="Georgia"/>
                <w:sz w:val="14"/>
                <w:szCs w:val="14"/>
                <w:color w:val="auto"/>
              </w:rPr>
              <w:t>($1,000 × contingent coupon rate) / 12.</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Monthly, on the third business day following each</w:t>
            </w:r>
          </w:p>
        </w:tc>
      </w:tr>
      <w:tr>
        <w:trPr>
          <w:trHeight w:val="172"/>
        </w:trPr>
        <w:tc>
          <w:tcPr>
            <w:tcW w:w="1960" w:type="dxa"/>
            <w:vAlign w:val="bottom"/>
            <w:tcBorders>
              <w:left w:val="single" w:sz="8" w:color="auto"/>
              <w:right w:val="single" w:sz="8" w:color="auto"/>
            </w:tcBorders>
          </w:tcPr>
          <w:p>
            <w:pPr>
              <w:ind w:left="12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line="152" w:lineRule="exact"/>
              <w:rPr>
                <w:sz w:val="20"/>
                <w:szCs w:val="20"/>
                <w:color w:val="auto"/>
              </w:rPr>
            </w:pPr>
            <w:r>
              <w:rPr>
                <w:rFonts w:ascii="Georgia" w:cs="Georgia" w:eastAsia="Georgia" w:hAnsi="Georgia"/>
                <w:sz w:val="14"/>
                <w:szCs w:val="14"/>
                <w:color w:val="auto"/>
              </w:rPr>
              <w:t>coupon payment date with respect to the final</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calculation day will be the stated maturity date</w:t>
            </w:r>
          </w:p>
        </w:tc>
      </w:tr>
      <w:tr>
        <w:trPr>
          <w:trHeight w:val="17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 Rate:</w:t>
            </w: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At least 34.55% per annum (to be provided in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pricing supplement)</w:t>
            </w: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80" w:type="dxa"/>
            <w:vAlign w:val="bottom"/>
          </w:tcPr>
          <w:p>
            <w:pPr>
              <w:spacing w:after="0"/>
              <w:rPr>
                <w:sz w:val="13"/>
                <w:szCs w:val="13"/>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If the stock closing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Underlying Stock on any of the calculation days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from September 2026 to May 2029, inclusive,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greater than or equal to its starting price,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securities will be automatically called, and on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related call settlement date you will be entitled to</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receive a cash payment per security in U.S. dollars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equal to the principal 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final contingent coupon payment and any previously</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unpaid contingent coupon payments.</w:t>
            </w:r>
          </w:p>
        </w:tc>
      </w:tr>
      <w:tr>
        <w:trPr>
          <w:trHeight w:val="186"/>
        </w:trPr>
        <w:tc>
          <w:tcPr>
            <w:tcW w:w="1960" w:type="dxa"/>
            <w:vAlign w:val="bottom"/>
            <w:tcBorders>
              <w:left w:val="single" w:sz="8" w:color="auto"/>
              <w:right w:val="single" w:sz="8" w:color="auto"/>
            </w:tcBorders>
          </w:tcPr>
          <w:p>
            <w:pPr>
              <w:ind w:left="12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6"/>
                <w:szCs w:val="16"/>
                <w:color w:val="auto"/>
              </w:rPr>
            </w:pPr>
          </w:p>
        </w:tc>
        <w:tc>
          <w:tcPr>
            <w:tcW w:w="3460" w:type="dxa"/>
            <w:vAlign w:val="bottom"/>
            <w:tcBorders>
              <w:right w:val="single" w:sz="8" w:color="auto"/>
            </w:tcBorders>
            <w:gridSpan w:val="8"/>
          </w:tcPr>
          <w:p>
            <w:pPr>
              <w:spacing w:after="0" w:line="185" w:lineRule="exact"/>
              <w:rPr>
                <w:sz w:val="20"/>
                <w:szCs w:val="20"/>
                <w:color w:val="auto"/>
              </w:rPr>
            </w:pPr>
            <w:r>
              <w:rPr>
                <w:rFonts w:ascii="Georgia" w:cs="Georgia" w:eastAsia="Georgia" w:hAnsi="Georgia"/>
                <w:sz w:val="13"/>
                <w:szCs w:val="13"/>
                <w:color w:val="auto"/>
              </w:rPr>
              <w:t>Monthly, on the 17</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month,</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commencing July 2026 and ending June 2029,</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i w:val="1"/>
                <w:iCs w:val="1"/>
                <w:color w:val="auto"/>
              </w:rPr>
              <w:t xml:space="preserve">provided </w:t>
            </w:r>
            <w:r>
              <w:rPr>
                <w:rFonts w:ascii="Georgia" w:cs="Georgia" w:eastAsia="Georgia" w:hAnsi="Georgia"/>
                <w:sz w:val="14"/>
                <w:szCs w:val="14"/>
                <w:color w:val="auto"/>
              </w:rPr>
              <w:t>that the June 2029 calculation day is June</w:t>
            </w:r>
          </w:p>
        </w:tc>
      </w:tr>
      <w:tr>
        <w:trPr>
          <w:trHeight w:val="145"/>
        </w:trPr>
        <w:tc>
          <w:tcPr>
            <w:tcW w:w="19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18, 2029. We refer to June 18, 2029 as the “final</w:t>
            </w:r>
          </w:p>
        </w:tc>
      </w:tr>
      <w:tr>
        <w:trPr>
          <w:trHeight w:val="149"/>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calculation day.”</w:t>
            </w:r>
          </w:p>
        </w:tc>
        <w:tc>
          <w:tcPr>
            <w:tcW w:w="280" w:type="dxa"/>
            <w:vAlign w:val="bottom"/>
            <w:tcBorders>
              <w:top w:val="single" w:sz="8" w:color="auto"/>
              <w:bottom w:val="single" w:sz="8" w:color="auto"/>
            </w:tcBorders>
            <w:gridSpan w:val="2"/>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r>
      <w:tr>
        <w:trPr>
          <w:trHeight w:val="175"/>
        </w:trPr>
        <w:tc>
          <w:tcPr>
            <w:tcW w:w="1960" w:type="dxa"/>
            <w:vAlign w:val="bottom"/>
            <w:tcBorders>
              <w:left w:val="single" w:sz="8" w:color="auto"/>
              <w:right w:val="single" w:sz="8" w:color="auto"/>
            </w:tcBorders>
          </w:tcPr>
          <w:p>
            <w:pPr>
              <w:ind w:left="12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5"/>
                <w:szCs w:val="15"/>
                <w:color w:val="auto"/>
              </w:rPr>
            </w:pPr>
          </w:p>
        </w:tc>
        <w:tc>
          <w:tcPr>
            <w:tcW w:w="346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Three business days after the applicable calculation</w:t>
            </w:r>
          </w:p>
        </w:tc>
      </w:tr>
      <w:tr>
        <w:trPr>
          <w:trHeight w:val="149"/>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gridSpan w:val="8"/>
          </w:tcPr>
          <w:p>
            <w:pPr>
              <w:spacing w:after="0" w:line="149" w:lineRule="exact"/>
              <w:rPr>
                <w:sz w:val="20"/>
                <w:szCs w:val="20"/>
                <w:color w:val="auto"/>
              </w:rPr>
            </w:pPr>
            <w:r>
              <w:rPr>
                <w:rFonts w:ascii="Georgia" w:cs="Georgia" w:eastAsia="Georgia" w:hAnsi="Georgia"/>
                <w:sz w:val="14"/>
                <w:szCs w:val="14"/>
                <w:color w:val="auto"/>
              </w:rPr>
              <w:t>day</w:t>
            </w:r>
          </w:p>
        </w:tc>
      </w:tr>
      <w:tr>
        <w:trPr>
          <w:trHeight w:val="146"/>
        </w:trPr>
        <w:tc>
          <w:tcPr>
            <w:tcW w:w="196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Maturity Payment Amount</w:t>
            </w:r>
          </w:p>
        </w:tc>
        <w:tc>
          <w:tcPr>
            <w:tcW w:w="80" w:type="dxa"/>
            <w:vAlign w:val="bottom"/>
          </w:tcPr>
          <w:p>
            <w:pPr>
              <w:spacing w:after="0"/>
              <w:rPr>
                <w:sz w:val="12"/>
                <w:szCs w:val="12"/>
                <w:color w:val="auto"/>
              </w:rPr>
            </w:pPr>
          </w:p>
        </w:tc>
        <w:tc>
          <w:tcPr>
            <w:tcW w:w="346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If the securities are not automatically called:</w:t>
            </w:r>
          </w:p>
        </w:tc>
      </w:tr>
      <w:tr>
        <w:trPr>
          <w:trHeight w:val="174"/>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(per security):</w:t>
            </w:r>
          </w:p>
        </w:tc>
        <w:tc>
          <w:tcPr>
            <w:tcW w:w="354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greater than or equal to its threshold price: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$1,000; or</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less than its threshold price:</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Georgia" w:cs="Georgia" w:eastAsia="Georgia" w:hAnsi="Georgia"/>
                <w:sz w:val="14"/>
                <w:szCs w:val="14"/>
                <w:color w:val="auto"/>
              </w:rPr>
              <w:t>$1,000 + ($1,000 × stock return of the lowest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Georgia" w:cs="Georgia" w:eastAsia="Georgia" w:hAnsi="Georgia"/>
                <w:sz w:val="14"/>
                <w:szCs w:val="14"/>
                <w:color w:val="auto"/>
              </w:rPr>
              <w:t>performing Underlying Stock on the final</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40" w:type="dxa"/>
            <w:vAlign w:val="bottom"/>
            <w:tcBorders>
              <w:right w:val="single" w:sz="8" w:color="auto"/>
            </w:tcBorders>
            <w:gridSpan w:val="6"/>
          </w:tcPr>
          <w:p>
            <w:pPr>
              <w:jc w:val="center"/>
              <w:ind w:right="1220"/>
              <w:spacing w:after="0"/>
              <w:rPr>
                <w:sz w:val="20"/>
                <w:szCs w:val="20"/>
                <w:color w:val="auto"/>
              </w:rPr>
            </w:pPr>
            <w:r>
              <w:rPr>
                <w:rFonts w:ascii="Georgia" w:cs="Georgia" w:eastAsia="Georgia" w:hAnsi="Georgia"/>
                <w:sz w:val="14"/>
                <w:szCs w:val="14"/>
                <w:color w:val="auto"/>
              </w:rPr>
              <w:t>calculation day)</w:t>
            </w:r>
          </w:p>
        </w:tc>
      </w:tr>
      <w:tr>
        <w:trPr>
          <w:trHeight w:val="37"/>
        </w:trPr>
        <w:tc>
          <w:tcPr>
            <w:tcW w:w="19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142"/>
        </w:trPr>
        <w:tc>
          <w:tcPr>
            <w:tcW w:w="196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Lowest Performing</w:t>
            </w:r>
          </w:p>
        </w:tc>
        <w:tc>
          <w:tcPr>
            <w:tcW w:w="80" w:type="dxa"/>
            <w:vAlign w:val="bottom"/>
          </w:tcPr>
          <w:p>
            <w:pPr>
              <w:spacing w:after="0"/>
              <w:rPr>
                <w:sz w:val="12"/>
                <w:szCs w:val="12"/>
                <w:color w:val="auto"/>
              </w:rPr>
            </w:pPr>
          </w:p>
        </w:tc>
        <w:tc>
          <w:tcPr>
            <w:tcW w:w="3460" w:type="dxa"/>
            <w:vAlign w:val="bottom"/>
            <w:tcBorders>
              <w:right w:val="single" w:sz="8" w:color="auto"/>
            </w:tcBorders>
            <w:gridSpan w:val="8"/>
          </w:tcPr>
          <w:p>
            <w:pPr>
              <w:spacing w:after="0" w:line="142" w:lineRule="exact"/>
              <w:rPr>
                <w:sz w:val="20"/>
                <w:szCs w:val="20"/>
                <w:color w:val="auto"/>
              </w:rPr>
            </w:pPr>
            <w:r>
              <w:rPr>
                <w:rFonts w:ascii="Georgia" w:cs="Georgia" w:eastAsia="Georgia" w:hAnsi="Georgia"/>
                <w:sz w:val="14"/>
                <w:szCs w:val="14"/>
                <w:color w:val="auto"/>
              </w:rPr>
              <w:t>For any calculation day, the “lowest performing</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r>
      <w:tr>
        <w:trPr>
          <w:trHeight w:val="142"/>
        </w:trPr>
        <w:tc>
          <w:tcPr>
            <w:tcW w:w="196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Underlying Stock:</w:t>
            </w:r>
          </w:p>
        </w:tc>
        <w:tc>
          <w:tcPr>
            <w:tcW w:w="80" w:type="dxa"/>
            <w:vAlign w:val="bottom"/>
          </w:tcPr>
          <w:p>
            <w:pPr>
              <w:spacing w:after="0"/>
              <w:rPr>
                <w:sz w:val="12"/>
                <w:szCs w:val="12"/>
                <w:color w:val="auto"/>
              </w:rPr>
            </w:pPr>
          </w:p>
        </w:tc>
        <w:tc>
          <w:tcPr>
            <w:tcW w:w="3460" w:type="dxa"/>
            <w:vAlign w:val="bottom"/>
            <w:tcBorders>
              <w:right w:val="single" w:sz="8" w:color="auto"/>
            </w:tcBorders>
            <w:gridSpan w:val="8"/>
          </w:tcPr>
          <w:p>
            <w:pPr>
              <w:spacing w:after="0" w:line="142" w:lineRule="exact"/>
              <w:rPr>
                <w:sz w:val="20"/>
                <w:szCs w:val="20"/>
                <w:color w:val="auto"/>
              </w:rPr>
            </w:pPr>
            <w:r>
              <w:rPr>
                <w:rFonts w:ascii="Georgia" w:cs="Georgia" w:eastAsia="Georgia" w:hAnsi="Georgia"/>
                <w:sz w:val="14"/>
                <w:szCs w:val="14"/>
                <w:color w:val="auto"/>
              </w:rPr>
              <w:t>Underlying Stock” will be the Underlying Stock with</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340" w:type="dxa"/>
            <w:vAlign w:val="bottom"/>
            <w:tcBorders>
              <w:right w:val="single" w:sz="8" w:color="auto"/>
            </w:tcBorders>
            <w:gridSpan w:val="6"/>
          </w:tcPr>
          <w:p>
            <w:pPr>
              <w:spacing w:after="0" w:line="20" w:lineRule="exact"/>
              <w:rPr>
                <w:sz w:val="1"/>
                <w:szCs w:val="1"/>
                <w:color w:val="auto"/>
              </w:rPr>
            </w:pPr>
          </w:p>
        </w:tc>
      </w:tr>
      <w:tr>
        <w:trPr>
          <w:trHeight w:val="155"/>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8"/>
          </w:tcPr>
          <w:p>
            <w:pPr>
              <w:spacing w:after="0" w:line="156" w:lineRule="exact"/>
              <w:rPr>
                <w:sz w:val="20"/>
                <w:szCs w:val="20"/>
                <w:color w:val="auto"/>
              </w:rPr>
            </w:pPr>
            <w:r>
              <w:rPr>
                <w:rFonts w:ascii="Georgia" w:cs="Georgia" w:eastAsia="Georgia" w:hAnsi="Georgia"/>
                <w:sz w:val="14"/>
                <w:szCs w:val="14"/>
                <w:color w:val="auto"/>
              </w:rPr>
              <w:t>the lowest stock return on that calculation day.</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59"/>
        </w:trPr>
        <w:tc>
          <w:tcPr>
            <w:tcW w:w="1940" w:type="dxa"/>
            <w:vAlign w:val="bottom"/>
            <w:tcBorders>
              <w:top w:val="single" w:sz="8" w:color="auto"/>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Starting Price:</w:t>
            </w:r>
          </w:p>
        </w:tc>
        <w:tc>
          <w:tcPr>
            <w:tcW w:w="3560" w:type="dxa"/>
            <w:vAlign w:val="bottom"/>
            <w:tcBorders>
              <w:top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its stock closing price on</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the pricing date</w:t>
            </w:r>
          </w:p>
        </w:tc>
      </w:tr>
      <w:tr>
        <w:trPr>
          <w:trHeight w:val="159"/>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Ending Price:</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its stock closing price on</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the final calculation day</w:t>
            </w:r>
          </w:p>
        </w:tc>
      </w:tr>
      <w:tr>
        <w:trPr>
          <w:trHeight w:val="159"/>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Stock Return:</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on any calculation day,</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(stock closing price on that calculation day –</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starting price) / starting price</w:t>
            </w:r>
          </w:p>
        </w:tc>
      </w:tr>
      <w:tr>
        <w:trPr>
          <w:trHeight w:val="155"/>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Threshold Price:</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For each Underlying Stock, 60% of its starting price</w:t>
            </w:r>
          </w:p>
        </w:tc>
      </w:tr>
      <w:tr>
        <w:trPr>
          <w:trHeight w:val="149"/>
        </w:trPr>
        <w:tc>
          <w:tcPr>
            <w:tcW w:w="19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356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4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Denominations:</w:t>
            </w: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$1,000 and any integral multiple of $1,000</w:t>
            </w:r>
          </w:p>
        </w:tc>
      </w:tr>
      <w:tr>
        <w:trPr>
          <w:trHeight w:val="156"/>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CUSIP:</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46661AT26</w:t>
            </w:r>
          </w:p>
        </w:tc>
      </w:tr>
      <w:tr>
        <w:trPr>
          <w:trHeight w:val="158"/>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Up to 2.325% for Wells Fargo Securities, LLC</w:t>
            </w:r>
          </w:p>
        </w:tc>
      </w:tr>
      <w:tr>
        <w:trPr>
          <w:trHeight w:val="146"/>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42"/>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1.75% of</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58"/>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expense fee of 0.075%. In addition, in respect of</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certain securities sold in this offering, JPMS may</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pay a fee of up to 0.30% to selected dealers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other dealers.</w:t>
            </w:r>
          </w:p>
        </w:tc>
      </w:tr>
      <w:tr>
        <w:trPr>
          <w:trHeight w:val="156"/>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187"/>
        </w:trPr>
        <w:tc>
          <w:tcPr>
            <w:tcW w:w="1940" w:type="dxa"/>
            <w:vAlign w:val="bottom"/>
            <w:tcBorders>
              <w:left w:val="single" w:sz="8" w:color="auto"/>
            </w:tcBorders>
          </w:tcPr>
          <w:p>
            <w:pPr>
              <w:ind w:left="100"/>
              <w:spacing w:after="0" w:line="187"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3"/>
                <w:szCs w:val="13"/>
                <w:color w:val="auto"/>
              </w:rPr>
              <w:t xml:space="preserve"> Subject to change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184"/>
        </w:trPr>
        <w:tc>
          <w:tcPr>
            <w:tcW w:w="194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r>
    </w:tbl>
    <w:p>
      <w:pPr>
        <w:spacing w:after="0" w:line="35" w:lineRule="exact"/>
        <w:rPr>
          <w:sz w:val="24"/>
          <w:szCs w:val="24"/>
          <w:color w:val="auto"/>
        </w:rPr>
      </w:pPr>
    </w:p>
    <w:p>
      <w:pPr>
        <w:ind w:left="40" w:right="4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354965</wp:posOffset>
            </wp:positionH>
            <wp:positionV relativeFrom="paragraph">
              <wp:posOffset>83185</wp:posOffset>
            </wp:positionV>
            <wp:extent cx="2786380" cy="192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6380" cy="1920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100" w:right="24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spacing w:after="0" w:line="25" w:lineRule="exact"/>
        <w:rPr>
          <w:sz w:val="24"/>
          <w:szCs w:val="24"/>
          <w:color w:val="auto"/>
        </w:rPr>
      </w:pPr>
    </w:p>
    <w:p>
      <w:pPr>
        <w:ind w:left="100" w:right="40"/>
        <w:spacing w:after="0" w:line="245" w:lineRule="auto"/>
        <w:rPr>
          <w:sz w:val="20"/>
          <w:szCs w:val="20"/>
          <w:color w:val="auto"/>
        </w:rPr>
      </w:pPr>
      <w:r>
        <w:rPr>
          <w:rFonts w:ascii="Georgia" w:cs="Georgia" w:eastAsia="Georgia" w:hAnsi="Georgia"/>
          <w:sz w:val="14"/>
          <w:szCs w:val="14"/>
          <w:b w:val="1"/>
          <w:bCs w:val="1"/>
          <w:color w:val="auto"/>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spacing w:after="0" w:line="39" w:lineRule="exact"/>
        <w:rPr>
          <w:sz w:val="24"/>
          <w:szCs w:val="24"/>
          <w:color w:val="auto"/>
        </w:rPr>
      </w:pPr>
    </w:p>
    <w:p>
      <w:pPr>
        <w:ind w:left="100" w:right="1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38" w:lineRule="exact"/>
        <w:rPr>
          <w:sz w:val="24"/>
          <w:szCs w:val="24"/>
          <w:color w:val="auto"/>
        </w:rPr>
      </w:pPr>
    </w:p>
    <w:p>
      <w:pPr>
        <w:ind w:left="100" w:right="10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$943.20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spacing w:after="0" w:line="25" w:lineRule="exact"/>
        <w:rPr>
          <w:sz w:val="24"/>
          <w:szCs w:val="24"/>
          <w:color w:val="auto"/>
        </w:rPr>
      </w:pPr>
    </w:p>
    <w:p>
      <w:pPr>
        <w:ind w:left="100" w:right="560"/>
        <w:spacing w:after="0" w:line="248" w:lineRule="auto"/>
        <w:rPr>
          <w:rFonts w:ascii="Georgia" w:cs="Georgia" w:eastAsia="Georgia" w:hAnsi="Georgia"/>
          <w:sz w:val="14"/>
          <w:szCs w:val="14"/>
          <w:u w:val="single" w:color="auto"/>
          <w:color w:val="0000EE"/>
        </w:rPr>
      </w:pPr>
      <w:hyperlink r:id="rId11">
        <w:r>
          <w:rPr>
            <w:rFonts w:ascii="Georgia" w:cs="Georgia" w:eastAsia="Georgia" w:hAnsi="Georgia"/>
            <w:sz w:val="14"/>
            <w:szCs w:val="14"/>
            <w:color w:val="auto"/>
          </w:rPr>
          <w:t xml:space="preserve">Preliminary Pricing Supplement: </w:t>
        </w:r>
        <w:r>
          <w:rPr>
            <w:rFonts w:ascii="Georgia" w:cs="Georgia" w:eastAsia="Georgia" w:hAnsi="Georgia"/>
            <w:sz w:val="14"/>
            <w:szCs w:val="14"/>
            <w:u w:val="single" w:color="auto"/>
            <w:color w:val="0000EE"/>
          </w:rPr>
          <w:t>http://www.sec.gov/Archives/edgar/data/</w:t>
        </w:r>
      </w:hyperlink>
      <w:r>
        <w:rPr>
          <w:rFonts w:ascii="Georgia" w:cs="Georgia" w:eastAsia="Georgia" w:hAnsi="Georgia"/>
          <w:sz w:val="14"/>
          <w:szCs w:val="14"/>
          <w:color w:val="auto"/>
        </w:rPr>
        <w:t xml:space="preserve"> </w:t>
      </w:r>
      <w:hyperlink r:id="rId11">
        <w:r>
          <w:rPr>
            <w:rFonts w:ascii="Georgia" w:cs="Georgia" w:eastAsia="Georgia" w:hAnsi="Georgia"/>
            <w:sz w:val="14"/>
            <w:szCs w:val="14"/>
            <w:u w:val="single" w:color="auto"/>
            <w:color w:val="0000EE"/>
          </w:rPr>
          <w:t>19617/000121390026065813/ea0293814-01_424b2.htm</w:t>
        </w:r>
      </w:hyperlink>
    </w:p>
    <w:p>
      <w:pPr>
        <w:spacing w:after="0" w:line="200" w:lineRule="exact"/>
        <w:rPr>
          <w:sz w:val="20"/>
          <w:szCs w:val="20"/>
          <w:color w:val="auto"/>
        </w:rPr>
      </w:pPr>
    </w:p>
    <w:p>
      <w:pPr>
        <w:sectPr>
          <w:pgSz w:w="11900" w:h="16838" w:orient="portrait"/>
          <w:cols w:equalWidth="0" w:num="2">
            <w:col w:w="5500" w:space="240"/>
            <w:col w:w="5500"/>
          </w:cols>
          <w:pgMar w:left="320" w:top="239" w:right="339" w:bottom="0" w:gutter="0" w:footer="0" w:header="0"/>
          <w:type w:val="continuous"/>
        </w:sectPr>
      </w:pPr>
    </w:p>
    <w:p>
      <w:pPr>
        <w:spacing w:after="0" w:line="362" w:lineRule="exact"/>
        <w:rPr>
          <w:sz w:val="20"/>
          <w:szCs w:val="20"/>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0"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9" w:right="339" w:bottom="0" w:gutter="0" w:footer="0" w:header="0"/>
          <w:type w:val="continuous"/>
        </w:sectPr>
      </w:pPr>
    </w:p>
    <w:bookmarkStart w:id="1" w:name="page2"/>
    <w:bookmarkEnd w:id="1"/>
    <w:p>
      <w:pPr>
        <w:spacing w:after="0" w:line="24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07" w:lineRule="exact"/>
        <w:rPr>
          <w:sz w:val="20"/>
          <w:szCs w:val="20"/>
          <w:color w:val="auto"/>
        </w:rPr>
      </w:pPr>
    </w:p>
    <w:p>
      <w:pPr>
        <w:ind w:left="420" w:right="40" w:hanging="315"/>
        <w:spacing w:after="0" w:line="253"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40%,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20" w:right="120" w:hanging="315"/>
        <w:spacing w:after="0" w:line="257"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Any Underlying Stock.</w:t>
      </w:r>
    </w:p>
    <w:p>
      <w:pPr>
        <w:spacing w:after="0" w:line="32"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2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29"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15" w:lineRule="exact"/>
        <w:rPr>
          <w:rFonts w:ascii="Times New Roman" w:cs="Times New Roman" w:eastAsia="Times New Roman" w:hAnsi="Times New Roman"/>
          <w:sz w:val="16"/>
          <w:szCs w:val="16"/>
          <w:color w:val="auto"/>
        </w:rPr>
      </w:pPr>
    </w:p>
    <w:p>
      <w:pPr>
        <w:ind w:left="420" w:right="20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Underlying Stock.</w:t>
      </w:r>
    </w:p>
    <w:p>
      <w:pPr>
        <w:spacing w:after="0" w:line="29"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Among the Underlying Stocks.</w:t>
      </w:r>
    </w:p>
    <w:p>
      <w:pPr>
        <w:spacing w:after="0" w:line="29" w:lineRule="exact"/>
        <w:rPr>
          <w:rFonts w:ascii="Times New Roman" w:cs="Times New Roman" w:eastAsia="Times New Roman" w:hAnsi="Times New Roman"/>
          <w:sz w:val="16"/>
          <w:szCs w:val="16"/>
          <w:color w:val="auto"/>
        </w:rPr>
      </w:pPr>
    </w:p>
    <w:p>
      <w:pPr>
        <w:ind w:left="42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45"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8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6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19" w:right="220" w:hanging="319"/>
        <w:spacing w:after="0" w:line="257"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319" w:right="100" w:hanging="319"/>
        <w:spacing w:after="0" w:line="264"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319" w:right="140" w:hanging="319"/>
        <w:spacing w:after="0" w:line="254"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19" w:right="560" w:hanging="319"/>
        <w:spacing w:after="0" w:line="264"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60" w:hanging="319"/>
        <w:spacing w:after="0" w:line="264"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59" w:hanging="259"/>
        <w:spacing w:after="0"/>
        <w:tabs>
          <w:tab w:leader="none" w:pos="25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Any Underlying Stock Issuer</w:t>
      </w:r>
    </w:p>
    <w:p>
      <w:pPr>
        <w:spacing w:after="0" w:line="60" w:lineRule="exact"/>
        <w:rPr>
          <w:rFonts w:ascii="Times New Roman" w:cs="Times New Roman" w:eastAsia="Times New Roman" w:hAnsi="Times New Roman"/>
          <w:sz w:val="16"/>
          <w:szCs w:val="16"/>
          <w:color w:val="auto"/>
        </w:rPr>
      </w:pPr>
    </w:p>
    <w:p>
      <w:pPr>
        <w:ind w:left="319" w:right="940" w:hanging="319"/>
        <w:spacing w:after="0" w:line="264"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15" w:lineRule="exact"/>
        <w:rPr>
          <w:rFonts w:ascii="Times New Roman" w:cs="Times New Roman" w:eastAsia="Times New Roman" w:hAnsi="Times New Roman"/>
          <w:sz w:val="16"/>
          <w:szCs w:val="16"/>
          <w:color w:val="auto"/>
        </w:rPr>
      </w:pPr>
    </w:p>
    <w:p>
      <w:pPr>
        <w:ind w:left="319" w:right="300" w:hanging="319"/>
        <w:spacing w:after="0" w:line="253" w:lineRule="auto"/>
        <w:tabs>
          <w:tab w:leader="none" w:pos="26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3111"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65813/ea0293814-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2026-06-08T05:13:09Z</dcterms:created>
  <dcterms:modified xsi:type="dcterms:W3CDTF">2026-06-08T05:13:09Z</dcterms:modified>
</cp:coreProperties>
</file>