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Date of Report (date of earliest event reported): May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93"/>
        </w:trPr>
        <w:tc>
          <w:tcPr>
            <w:tcW w:w="720" w:type="dxa"/>
            <w:vAlign w:val="bottom"/>
          </w:tcPr>
          <w:p>
            <w:pPr>
              <w:spacing w:after="0"/>
              <w:rPr>
                <w:sz w:val="20"/>
                <w:szCs w:val="20"/>
                <w:color w:val="auto"/>
              </w:rPr>
            </w:pPr>
            <w:r>
              <w:rPr>
                <w:rFonts w:ascii="Arial" w:cs="Arial" w:eastAsia="Arial" w:hAnsi="Arial"/>
                <w:sz w:val="8"/>
                <w:szCs w:val="8"/>
                <w:b w:val="1"/>
                <w:bCs w:val="1"/>
                <w:color w:val="auto"/>
              </w:rPr>
              <w:t>Title of each class</w:t>
            </w:r>
          </w:p>
        </w:tc>
        <w:tc>
          <w:tcPr>
            <w:tcW w:w="4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Trading Symbol(s)</w:t>
            </w:r>
          </w:p>
        </w:tc>
        <w:tc>
          <w:tcPr>
            <w:tcW w:w="720" w:type="dxa"/>
            <w:vAlign w:val="bottom"/>
          </w:tcPr>
          <w:p>
            <w:pPr>
              <w:spacing w:after="0"/>
              <w:rPr>
                <w:sz w:val="8"/>
                <w:szCs w:val="8"/>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JPM</w:t>
            </w:r>
          </w:p>
        </w:tc>
        <w:tc>
          <w:tcPr>
            <w:tcW w:w="720" w:type="dxa"/>
            <w:vAlign w:val="bottom"/>
          </w:tcPr>
          <w:p>
            <w:pPr>
              <w:spacing w:after="0"/>
              <w:rPr>
                <w:sz w:val="10"/>
                <w:szCs w:val="10"/>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D</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C</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K</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L</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M</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AMJ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JPM/32</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bl>
    <w:p>
      <w:pPr>
        <w:spacing w:after="0" w:line="64" w:lineRule="exact"/>
        <w:rPr>
          <w:sz w:val="24"/>
          <w:szCs w:val="24"/>
          <w:color w:val="auto"/>
        </w:rPr>
      </w:pPr>
    </w:p>
    <w:p>
      <w:pPr>
        <w:ind w:right="580"/>
        <w:spacing w:after="0" w:line="143"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384810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May 23, 2022, JPMorgan Chase &amp; Co. (“JPMorgan Chase” or the “Firm”) held an Investor Day presentation during which it provided information to investors about the Firm and its various lines of business.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Exhibit 99 is a copy of the slides furnished at, and posted on the Firm’s website in connection with, the presentation.</w:t>
      </w:r>
    </w:p>
    <w:p>
      <w:pPr>
        <w:spacing w:after="0" w:line="138" w:lineRule="exact"/>
        <w:rPr>
          <w:sz w:val="20"/>
          <w:szCs w:val="20"/>
          <w:color w:val="auto"/>
        </w:rPr>
      </w:pPr>
    </w:p>
    <w:p>
      <w:pPr>
        <w:ind w:left="8" w:right="40"/>
        <w:spacing w:after="0" w:line="286" w:lineRule="auto"/>
        <w:rPr>
          <w:sz w:val="20"/>
          <w:szCs w:val="20"/>
          <w:color w:val="auto"/>
        </w:rPr>
      </w:pPr>
      <w:r>
        <w:rPr>
          <w:rFonts w:ascii="Arial" w:cs="Arial" w:eastAsia="Arial" w:hAnsi="Arial"/>
          <w:sz w:val="12"/>
          <w:szCs w:val="12"/>
          <w:color w:val="auto"/>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05" w:lineRule="exact"/>
        <w:rPr>
          <w:sz w:val="20"/>
          <w:szCs w:val="20"/>
          <w:color w:val="auto"/>
        </w:rPr>
      </w:pPr>
    </w:p>
    <w:p>
      <w:pPr>
        <w:ind w:left="8"/>
        <w:spacing w:after="0" w:line="256"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2021, and Quarterly Report on Form 10-Q for the quarter ended March 31, 2022, which have been filed with the Securities and Exchange Commission and are available on JPMorgan Chase’s website (</w:t>
      </w:r>
      <w:r>
        <w:rPr>
          <w:rFonts w:ascii="Arial" w:cs="Arial" w:eastAsia="Arial" w:hAnsi="Arial"/>
          <w:sz w:val="12"/>
          <w:szCs w:val="12"/>
          <w:i w:val="1"/>
          <w:iCs w:val="1"/>
          <w:u w:val="single" w:color="auto"/>
          <w:color w:val="auto"/>
        </w:rPr>
        <w:t>https://jpmorganchaseco.gcs-web.com/financial-information/sec-filings</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2"/>
                <w:szCs w:val="12"/>
                <w:color w:val="0000FF"/>
                <w:w w:val="99"/>
              </w:rPr>
              <w:t>JPMorgan Chase &amp; Co. 2022</w:t>
            </w:r>
          </w:p>
        </w:tc>
        <w:tc>
          <w:tcPr>
            <w:tcW w:w="7500" w:type="dxa"/>
            <w:vAlign w:val="bottom"/>
            <w:gridSpan w:val="5"/>
          </w:tcPr>
          <w:p>
            <w:pPr>
              <w:spacing w:after="0"/>
              <w:rPr>
                <w:sz w:val="20"/>
                <w:szCs w:val="20"/>
                <w:color w:val="auto"/>
              </w:rPr>
            </w:pPr>
            <w:r>
              <w:rPr>
                <w:rFonts w:ascii="Arial" w:cs="Arial" w:eastAsia="Arial" w:hAnsi="Arial"/>
                <w:sz w:val="12"/>
                <w:szCs w:val="12"/>
                <w:color w:val="0000FF"/>
              </w:rPr>
              <w:t>Investor Day cover page, forward-looking statements and agenda</w:t>
            </w:r>
          </w:p>
        </w:tc>
      </w:tr>
      <w:tr>
        <w:trPr>
          <w:trHeight w:val="133"/>
        </w:trPr>
        <w:tc>
          <w:tcPr>
            <w:tcW w:w="2060" w:type="dxa"/>
            <w:vAlign w:val="bottom"/>
            <w:gridSpan w:val="2"/>
          </w:tcPr>
          <w:p>
            <w:pPr>
              <w:ind w:left="580"/>
              <w:spacing w:after="0" w:line="133" w:lineRule="exact"/>
              <w:rPr>
                <w:sz w:val="20"/>
                <w:szCs w:val="20"/>
                <w:color w:val="auto"/>
              </w:rPr>
            </w:pPr>
            <w:r>
              <w:rPr>
                <w:rFonts w:ascii="Arial" w:cs="Arial" w:eastAsia="Arial" w:hAnsi="Arial"/>
                <w:sz w:val="12"/>
                <w:szCs w:val="12"/>
                <w:color w:val="auto"/>
              </w:rPr>
              <w:t>99.2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2022</w:t>
            </w:r>
          </w:p>
        </w:tc>
        <w:tc>
          <w:tcPr>
            <w:tcW w:w="172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Investor Day presentation slides</w:t>
            </w:r>
          </w:p>
        </w:tc>
        <w:tc>
          <w:tcPr>
            <w:tcW w:w="1760" w:type="dxa"/>
            <w:vAlign w:val="bottom"/>
            <w:tcBorders>
              <w:top w:val="single" w:sz="8" w:color="0000FF"/>
            </w:tcBorders>
            <w:gridSpan w:val="2"/>
          </w:tcPr>
          <w:p>
            <w:pPr>
              <w:spacing w:after="0"/>
              <w:rPr>
                <w:sz w:val="11"/>
                <w:szCs w:val="11"/>
                <w:color w:val="auto"/>
              </w:rPr>
            </w:pPr>
          </w:p>
        </w:tc>
        <w:tc>
          <w:tcPr>
            <w:tcW w:w="4020" w:type="dxa"/>
            <w:vAlign w:val="bottom"/>
            <w:gridSpan w:val="2"/>
          </w:tcPr>
          <w:p>
            <w:pPr>
              <w:spacing w:after="0"/>
              <w:rPr>
                <w:sz w:val="11"/>
                <w:szCs w:val="11"/>
                <w:color w:val="auto"/>
              </w:rPr>
            </w:pPr>
          </w:p>
        </w:tc>
      </w:tr>
      <w:tr>
        <w:trPr>
          <w:trHeight w:val="133"/>
        </w:trPr>
        <w:tc>
          <w:tcPr>
            <w:tcW w:w="2060" w:type="dxa"/>
            <w:vAlign w:val="bottom"/>
            <w:gridSpan w:val="2"/>
          </w:tcPr>
          <w:p>
            <w:pPr>
              <w:ind w:left="580"/>
              <w:spacing w:after="0" w:line="133" w:lineRule="exact"/>
              <w:rPr>
                <w:sz w:val="20"/>
                <w:szCs w:val="20"/>
                <w:color w:val="auto"/>
              </w:rPr>
            </w:pPr>
            <w:r>
              <w:rPr>
                <w:rFonts w:ascii="Arial" w:cs="Arial" w:eastAsia="Arial" w:hAnsi="Arial"/>
                <w:sz w:val="12"/>
                <w:szCs w:val="12"/>
                <w:color w:val="auto"/>
              </w:rPr>
              <w:t>99.3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2022</w:t>
            </w:r>
          </w:p>
        </w:tc>
        <w:tc>
          <w:tcPr>
            <w:tcW w:w="1800" w:type="dxa"/>
            <w:vAlign w:val="bottom"/>
            <w:tcBorders>
              <w:bottom w:val="single" w:sz="8" w:color="0000FF"/>
            </w:tcBorders>
            <w:gridSpan w:val="2"/>
          </w:tcPr>
          <w:p>
            <w:pPr>
              <w:spacing w:after="0" w:line="133" w:lineRule="exact"/>
              <w:rPr>
                <w:sz w:val="20"/>
                <w:szCs w:val="20"/>
                <w:color w:val="auto"/>
              </w:rPr>
            </w:pPr>
            <w:r>
              <w:rPr>
                <w:rFonts w:ascii="Arial" w:cs="Arial" w:eastAsia="Arial" w:hAnsi="Arial"/>
                <w:sz w:val="12"/>
                <w:szCs w:val="12"/>
                <w:color w:val="0000FF"/>
                <w:w w:val="99"/>
              </w:rPr>
              <w:t>Investor Day speaker biographies</w:t>
            </w:r>
          </w:p>
        </w:tc>
        <w:tc>
          <w:tcPr>
            <w:tcW w:w="5700" w:type="dxa"/>
            <w:vAlign w:val="bottom"/>
            <w:gridSpan w:val="3"/>
          </w:tcPr>
          <w:p>
            <w:pPr>
              <w:spacing w:after="0"/>
              <w:rPr>
                <w:sz w:val="11"/>
                <w:szCs w:val="11"/>
                <w:color w:val="auto"/>
              </w:rPr>
            </w:pPr>
          </w:p>
        </w:tc>
      </w:tr>
      <w:tr>
        <w:trPr>
          <w:trHeight w:val="156"/>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6"/>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6"/>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80" w:type="dxa"/>
            <w:vAlign w:val="bottom"/>
            <w:gridSpan w:val="3"/>
          </w:tcPr>
          <w:p>
            <w:pPr>
              <w:jc w:val="right"/>
              <w:ind w:right="1540"/>
              <w:spacing w:after="0"/>
              <w:rPr>
                <w:sz w:val="20"/>
                <w:szCs w:val="20"/>
                <w:color w:val="auto"/>
              </w:rPr>
            </w:pPr>
            <w:r>
              <w:rPr>
                <w:rFonts w:ascii="Arial" w:cs="Arial" w:eastAsia="Arial" w:hAnsi="Arial"/>
                <w:sz w:val="12"/>
                <w:szCs w:val="12"/>
                <w:color w:val="auto"/>
              </w:rPr>
              <w:t>2</w:t>
            </w:r>
          </w:p>
        </w:tc>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96"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81"/>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Jordan A. Costa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Jordan A. Costa</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Managing Director</w:t>
            </w:r>
          </w:p>
        </w:tc>
      </w:tr>
    </w:tbl>
    <w:p>
      <w:pPr>
        <w:spacing w:after="0" w:line="200" w:lineRule="exact"/>
        <w:rPr>
          <w:sz w:val="20"/>
          <w:szCs w:val="20"/>
          <w:color w:val="auto"/>
        </w:rPr>
      </w:pPr>
    </w:p>
    <w:p>
      <w:pPr>
        <w:spacing w:after="0" w:line="280"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May 23, 2022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38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385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2022-05-23T15:53:24Z</dcterms:created>
  <dcterms:modified xsi:type="dcterms:W3CDTF">2022-05-23T15:53:24Z</dcterms:modified>
</cp:coreProperties>
</file>